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24F0" w14:textId="77777777" w:rsidR="004417B8" w:rsidRDefault="004417B8"/>
    <w:p w14:paraId="2D70A369" w14:textId="77777777" w:rsidR="004417B8" w:rsidRDefault="004417B8"/>
    <w:p w14:paraId="0974475E" w14:textId="77777777" w:rsidR="004417B8" w:rsidRDefault="004417B8" w:rsidP="004417B8">
      <w:pPr>
        <w:spacing w:line="240" w:lineRule="auto"/>
        <w:contextualSpacing/>
      </w:pPr>
    </w:p>
    <w:p w14:paraId="69B127AF" w14:textId="77777777" w:rsidR="0022762E" w:rsidRDefault="0022762E" w:rsidP="004417B8">
      <w:pPr>
        <w:spacing w:line="240" w:lineRule="auto"/>
        <w:contextualSpacing/>
      </w:pPr>
      <w:bookmarkStart w:id="0" w:name="_GoBack"/>
      <w:bookmarkEnd w:id="0"/>
    </w:p>
    <w:p w14:paraId="25F05025" w14:textId="77777777" w:rsidR="004417B8" w:rsidRDefault="004417B8" w:rsidP="004417B8">
      <w:pPr>
        <w:spacing w:line="240" w:lineRule="auto"/>
        <w:contextualSpacing/>
      </w:pPr>
    </w:p>
    <w:p w14:paraId="530728DD" w14:textId="77777777" w:rsidR="004417B8" w:rsidRPr="003E3744" w:rsidRDefault="004417B8" w:rsidP="004245A1">
      <w:pPr>
        <w:pStyle w:val="Kop4"/>
      </w:pPr>
      <w:r>
        <w:t>Inleiding</w:t>
      </w:r>
    </w:p>
    <w:p w14:paraId="54B7891D" w14:textId="49C7A44F" w:rsidR="004417B8" w:rsidRPr="00EC536C" w:rsidRDefault="004417B8" w:rsidP="004417B8">
      <w:r w:rsidRPr="003667FC">
        <w:t xml:space="preserve">Voor u ligt </w:t>
      </w:r>
      <w:r>
        <w:t xml:space="preserve">het jaarplan </w:t>
      </w:r>
      <w:r w:rsidRPr="003667FC">
        <w:t>201</w:t>
      </w:r>
      <w:r>
        <w:t>8 van veiligheidshuis Baronie Breda</w:t>
      </w:r>
      <w:r w:rsidRPr="003667FC">
        <w:t xml:space="preserve">. </w:t>
      </w:r>
      <w:r>
        <w:t>Dit maakt inzichtelijk welke activiteiten dit jaar worden uitgevoerd</w:t>
      </w:r>
      <w:r w:rsidR="0012390D">
        <w:rPr>
          <w:rStyle w:val="Voetnootmarkering"/>
        </w:rPr>
        <w:footnoteReference w:id="1"/>
      </w:r>
      <w:r>
        <w:t xml:space="preserve">. Daarin maken we een zorgvuldige afweging van </w:t>
      </w:r>
      <w:r w:rsidR="004245A1">
        <w:t>activiteiten</w:t>
      </w:r>
      <w:r w:rsidR="007F1EF0">
        <w:t>, primair</w:t>
      </w:r>
      <w:r w:rsidR="004245A1">
        <w:t xml:space="preserve"> op basis van bestuurlijke</w:t>
      </w:r>
      <w:r>
        <w:t xml:space="preserve"> prioriteiten en beschikbare middelen. </w:t>
      </w:r>
      <w:r w:rsidR="004245A1">
        <w:t>Kader stellend</w:t>
      </w:r>
      <w:r>
        <w:t xml:space="preserve"> voor het jaarplan zijn</w:t>
      </w:r>
      <w:r w:rsidR="004245A1">
        <w:t xml:space="preserve"> de vastgestelde functies van</w:t>
      </w:r>
      <w:r>
        <w:t xml:space="preserve"> Baronie Breda, namelijk:</w:t>
      </w:r>
    </w:p>
    <w:p w14:paraId="20140DC8" w14:textId="77777777" w:rsidR="004417B8" w:rsidRPr="007F1EF0" w:rsidRDefault="004417B8" w:rsidP="004417B8">
      <w:pPr>
        <w:pStyle w:val="Lijstalinea"/>
        <w:numPr>
          <w:ilvl w:val="0"/>
          <w:numId w:val="4"/>
        </w:numPr>
        <w:spacing w:line="240" w:lineRule="auto"/>
        <w:jc w:val="left"/>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 xml:space="preserve">Complexe casuïstiek. Het faciliteren en regisseren van veiligheidshuistafels waar complexe casuïstiek wordt besproken; </w:t>
      </w:r>
    </w:p>
    <w:p w14:paraId="3C6168E1" w14:textId="77777777" w:rsidR="004417B8" w:rsidRPr="007F1EF0" w:rsidRDefault="004417B8" w:rsidP="004417B8">
      <w:pPr>
        <w:pStyle w:val="Lijstalinea"/>
        <w:numPr>
          <w:ilvl w:val="0"/>
          <w:numId w:val="4"/>
        </w:numPr>
        <w:spacing w:line="240" w:lineRule="auto"/>
        <w:jc w:val="left"/>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Expertisecentrum. Het functioneren als expertisecentrum voor multidisciplinaire (veiligheids-) problematiek;</w:t>
      </w:r>
    </w:p>
    <w:p w14:paraId="00015490" w14:textId="77777777" w:rsidR="004417B8" w:rsidRPr="007F1EF0" w:rsidRDefault="004417B8" w:rsidP="004417B8">
      <w:pPr>
        <w:pStyle w:val="Lijstalinea"/>
        <w:numPr>
          <w:ilvl w:val="0"/>
          <w:numId w:val="4"/>
        </w:numPr>
        <w:spacing w:line="240" w:lineRule="auto"/>
        <w:jc w:val="left"/>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Informatieknooppunt. Het zijn van een relevant informatieknooppunt.</w:t>
      </w:r>
    </w:p>
    <w:p w14:paraId="4E15BD1A" w14:textId="77777777" w:rsidR="004417B8" w:rsidRDefault="004417B8" w:rsidP="004417B8"/>
    <w:p w14:paraId="4C32ABC4" w14:textId="5539D06E" w:rsidR="004417B8" w:rsidRDefault="004417B8" w:rsidP="004417B8">
      <w:r>
        <w:t>Voor de totstandkoming van het jaarplan zijn verschillende bronnen van informatie gebruikt. Allereerst de nulmeting uit mei 2017, omdat er op dit moment nog geen jaarverslag voor 2017 is vastgesteld. De nulmeting geeft inzicht in de ontwikkelingen van de afgelopen periode en de prioriteiten die daarin zijn aangewezen. In de tweede plaats hebben wij voor de totstandkoming bij gemeenten (uit de ambtelijke begeleidingscommissie) verkend welke prioriteiten zij zien voor het veiligheidshuis in 2018. Ten derde maken wij gebruik van de landelijke inzichten uit diverse rapportages.</w:t>
      </w:r>
    </w:p>
    <w:p w14:paraId="4EF466E1" w14:textId="77777777" w:rsidR="004417B8" w:rsidRDefault="004417B8" w:rsidP="004417B8">
      <w:r>
        <w:t>Voor het jaarplan 2018 stellen wij voor om, naast de continuering van de gebruikelijke activiteiten, drie prioriteiten te benoemen, met daarbinnen verschillende activiteiten en projecten:</w:t>
      </w:r>
    </w:p>
    <w:p w14:paraId="111B9611" w14:textId="77777777" w:rsidR="004417B8" w:rsidRPr="007F1EF0" w:rsidRDefault="004417B8" w:rsidP="004417B8">
      <w:pPr>
        <w:pStyle w:val="Lijstalinea"/>
        <w:numPr>
          <w:ilvl w:val="0"/>
          <w:numId w:val="1"/>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 xml:space="preserve">Profilering bij gemeenten en wijkteams </w:t>
      </w:r>
    </w:p>
    <w:p w14:paraId="6A58B2DC" w14:textId="77777777" w:rsidR="004417B8" w:rsidRPr="007F1EF0" w:rsidRDefault="004417B8" w:rsidP="004417B8">
      <w:pPr>
        <w:pStyle w:val="Lijstalinea"/>
        <w:numPr>
          <w:ilvl w:val="0"/>
          <w:numId w:val="1"/>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Informatiedeling en privacy</w:t>
      </w:r>
    </w:p>
    <w:p w14:paraId="14832FBE" w14:textId="61AB53F5" w:rsidR="004417B8" w:rsidRPr="007F1EF0" w:rsidRDefault="004417B8" w:rsidP="004417B8">
      <w:pPr>
        <w:pStyle w:val="Lijstalinea"/>
        <w:numPr>
          <w:ilvl w:val="0"/>
          <w:numId w:val="1"/>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De basis op orde</w:t>
      </w:r>
    </w:p>
    <w:p w14:paraId="04C0D48B" w14:textId="77777777" w:rsidR="004417B8" w:rsidRDefault="004417B8" w:rsidP="004417B8"/>
    <w:p w14:paraId="1CFC2FE8" w14:textId="273672A4" w:rsidR="004417B8" w:rsidRDefault="004417B8" w:rsidP="004417B8">
      <w:r>
        <w:t xml:space="preserve">Door te investeren in deze drie prioriteiten zal de effectiviteit en efficiëntie van </w:t>
      </w:r>
      <w:r w:rsidR="004245A1">
        <w:t>Veiligheidshuis</w:t>
      </w:r>
      <w:r>
        <w:t xml:space="preserve"> Baronie Breda naar verwachting toenemen.</w:t>
      </w:r>
    </w:p>
    <w:p w14:paraId="46AA23F1" w14:textId="77777777" w:rsidR="00D44ED7" w:rsidRDefault="00D44ED7" w:rsidP="004417B8"/>
    <w:p w14:paraId="08AC2751" w14:textId="0F3F57FD" w:rsidR="004417B8" w:rsidRPr="003920AD" w:rsidRDefault="004417B8" w:rsidP="004245A1">
      <w:pPr>
        <w:pStyle w:val="Kop2"/>
      </w:pPr>
      <w:r w:rsidRPr="003920AD">
        <w:t>1. Profilering bij gemeenten en wijkteams</w:t>
      </w:r>
    </w:p>
    <w:p w14:paraId="4F6D002D" w14:textId="1AEDE9D3" w:rsidR="004417B8" w:rsidRDefault="004417B8" w:rsidP="004417B8">
      <w:r>
        <w:t xml:space="preserve">De decentralisaties in het sociaal domein hebben gemeenten in positie gebracht en </w:t>
      </w:r>
      <w:r w:rsidR="00737901">
        <w:t xml:space="preserve">heeft </w:t>
      </w:r>
      <w:r>
        <w:t>in het landschap van zorg en welzijn</w:t>
      </w:r>
      <w:r w:rsidR="00737901">
        <w:t xml:space="preserve">, </w:t>
      </w:r>
      <w:r>
        <w:t xml:space="preserve"> geleid tot g</w:t>
      </w:r>
      <w:r w:rsidR="004B2DA6">
        <w:t>rote veranderingen. Het gaat om</w:t>
      </w:r>
      <w:r>
        <w:t xml:space="preserve"> andere positionering van instellingen en nieuwe werkwijzen. Veel van de veranderingen zijn nog in beweging en niet ‘uitgehard’. Voor </w:t>
      </w:r>
      <w:r w:rsidR="004245A1">
        <w:t>veiligheidshuis</w:t>
      </w:r>
      <w:r>
        <w:t xml:space="preserve"> Baronie Breda is het essentieel om goed aangehaakt te zijn. Uit de nulmeting in 2017 blijkt dat er goed is aangehaakt bij Veilig Thuis, ZSM en reclassering, maar dat bij gemeenten en wijkteams de aansluiting beter kan. Betere aansluiting leidt ertoe dat voor speciale casussen niet onnodig (lang) binnen de lokale zorg- en veiligheidsstructuur naar een oplossing wordt gezocht. Ook voorkomt b</w:t>
      </w:r>
      <w:r w:rsidRPr="00822BB6">
        <w:t xml:space="preserve">etrokkenheid van het </w:t>
      </w:r>
      <w:r>
        <w:t>v</w:t>
      </w:r>
      <w:r w:rsidRPr="00822BB6">
        <w:t xml:space="preserve">eiligheidshuis dat potentiele oplossingen </w:t>
      </w:r>
      <w:r>
        <w:t xml:space="preserve">voor lokale casussen </w:t>
      </w:r>
      <w:r w:rsidRPr="00822BB6">
        <w:t>onbenut blijven</w:t>
      </w:r>
      <w:r>
        <w:t xml:space="preserve"> (want onbekend)</w:t>
      </w:r>
      <w:r w:rsidRPr="00822BB6">
        <w:t xml:space="preserve"> en problematiek verslechtert. </w:t>
      </w:r>
      <w:r>
        <w:t xml:space="preserve">Prioriteit voor 2018 heeft daarom sterkere profilering bij de gemeenten en de lokale wijkteams. Interventies op strategisch, tactisch en operationeel niveau zijn daarbij noodzakelijk. </w:t>
      </w:r>
    </w:p>
    <w:p w14:paraId="23ACAF91" w14:textId="77777777" w:rsidR="004417B8" w:rsidRDefault="004417B8" w:rsidP="004417B8"/>
    <w:p w14:paraId="26548873" w14:textId="47C68991" w:rsidR="004417B8" w:rsidRDefault="004417B8" w:rsidP="004417B8">
      <w:r>
        <w:lastRenderedPageBreak/>
        <w:t xml:space="preserve">Op strategisch niveau stellen wij voor om (gelet op de analyse van de governance) </w:t>
      </w:r>
      <w:r w:rsidRPr="00822BB6">
        <w:t xml:space="preserve"> meer duidelijkheid te ge</w:t>
      </w:r>
      <w:r w:rsidR="007F1EF0">
        <w:t>ven over de betrokkenheid van alle</w:t>
      </w:r>
      <w:r w:rsidRPr="00822BB6">
        <w:t xml:space="preserve"> gemeenten</w:t>
      </w:r>
      <w:r w:rsidR="007F1EF0">
        <w:t>. Daarom stellen wij de eerste helft van</w:t>
      </w:r>
      <w:r>
        <w:t xml:space="preserve"> 2018 nieuwe afspraken vast over de manier van samenwerken, een nieuw ‘samenwerkingsconvenant’. Daarin stellen wij voor om alle elf gemeenten </w:t>
      </w:r>
      <w:r w:rsidR="002750F4">
        <w:t>op te nemen in de stuurgroep met burgemeester of wethouder, met de mogelijkheid</w:t>
      </w:r>
      <w:r>
        <w:t xml:space="preserve"> </w:t>
      </w:r>
      <w:r w:rsidR="002750F4">
        <w:t xml:space="preserve">voor gemeenten </w:t>
      </w:r>
      <w:r>
        <w:t>om elkaar onderling te vertegenwoordigen. Naast het vaststellen van het convenant en de herschikking van het bestuur naar een stuurgroep, maakt de manager van het veiligheidshuis een ronde langs de nieuwe colleges van B&amp;W, om daar input op te halen voor de prioriteiten van het veiligheidshuis. Juist vanwege de gemeenteraadsverkiezingen en coalitievorming in 2018 is een (hernieuwde) kennismaking belangrijk. Eventueel kan ook speciale aandacht uitgaan naar de gemeenteraden. Het is daarbij mogelijk dat de ene gemeente een actievere samenwerkingsrelatie aangaat met Baronie Breda dan een andere gemeente, tegen extra financiering. Op maat gesneden samenwerkingen (een pluspakket) kunnen een uitkomst zijn van strategisch overleg. Ze worden wel altijd geaccordeerd door de stuurgroep.</w:t>
      </w:r>
    </w:p>
    <w:p w14:paraId="637E5903" w14:textId="0ED503EB" w:rsidR="004417B8" w:rsidRDefault="004417B8" w:rsidP="004417B8">
      <w:r>
        <w:t xml:space="preserve">Op tactisch niveau zetten wij in op een actievere informatiefunctie. </w:t>
      </w:r>
      <w:r w:rsidR="005D31EF">
        <w:t>Het veiligheidshuis kan door gericht zoeken en  selecteren van zaken inspelen op bestuurlijke (lokale) prioriteiten. Ook kan het veiligheidshuis</w:t>
      </w:r>
      <w:r>
        <w:t xml:space="preserve"> uit de triage en regie bij complexe casussen, ook structurele knelpunten herleiden in de lokale en regionale veiligheids-, zorg- en welzijnsstructuur. Analyse en terugkoppeling van deze knelpunten kan toegevoegde waarde bieden voor betrokkenen. Bijvoorbeeld wanneer uit de casuïstiek problematische wachtlijsten naar voren komen bij instellingen die leiden tot een structureel knelpunt in het voorkomen van recidive. Om deze rol met gezag te kunnen invullen, ontwikkelen we in 2018 een verbeterde werkwijze voor weging en analy</w:t>
      </w:r>
      <w:r w:rsidR="007F1EF0">
        <w:t>se van de aangebrachte casussen, waarbij we ook Veilig Thuis, de MASS en wijkteams zullen betrekken.</w:t>
      </w:r>
      <w:r>
        <w:t xml:space="preserve"> Verder maken we afspraken over de rapportage over deze knelpunten.</w:t>
      </w:r>
    </w:p>
    <w:p w14:paraId="358F1520" w14:textId="7D0A4BFA" w:rsidR="004417B8" w:rsidRDefault="004417B8" w:rsidP="004417B8">
      <w:r>
        <w:t>Op operationeel niveau is het van belang dat het veiligheidshuis beter op het vizier komt bij de medewerkers van de wijkteams. Voor complexe casussen is de lokale structuur niet altijd toereikend en is betrokkenheid van Baronie Breda</w:t>
      </w:r>
      <w:r w:rsidR="002750F4">
        <w:t xml:space="preserve"> met advies, hulp of regie</w:t>
      </w:r>
      <w:r>
        <w:t xml:space="preserve"> soms meer dan wenselijk. Om in beeld te komen bij de wijkteams zijn verschillende instrumenten mogelijk: </w:t>
      </w:r>
      <w:r w:rsidRPr="004579B7">
        <w:t>een goedwerkende website, een flyer</w:t>
      </w:r>
      <w:r>
        <w:t xml:space="preserve"> en digitale communicatie. M</w:t>
      </w:r>
      <w:r w:rsidRPr="004579B7">
        <w:t xml:space="preserve">aar </w:t>
      </w:r>
      <w:r>
        <w:t xml:space="preserve">belangrijker is om </w:t>
      </w:r>
      <w:r w:rsidRPr="004579B7">
        <w:t>binnen</w:t>
      </w:r>
      <w:r>
        <w:t xml:space="preserve"> diverse g</w:t>
      </w:r>
      <w:r w:rsidRPr="004579B7">
        <w:t>remia</w:t>
      </w:r>
      <w:r>
        <w:t xml:space="preserve"> bij de gemeenten vaker v</w:t>
      </w:r>
      <w:r w:rsidRPr="004579B7">
        <w:t xml:space="preserve">oorlichting </w:t>
      </w:r>
      <w:r>
        <w:t xml:space="preserve">te </w:t>
      </w:r>
      <w:r w:rsidRPr="004579B7">
        <w:t>geven</w:t>
      </w:r>
      <w:r>
        <w:t>. Daarin kan duidelijker worden beschreven en uitgelegd in we</w:t>
      </w:r>
      <w:r w:rsidRPr="004579B7">
        <w:t xml:space="preserve">lke gevallen wel en </w:t>
      </w:r>
      <w:r>
        <w:t xml:space="preserve">in </w:t>
      </w:r>
      <w:r w:rsidRPr="004579B7">
        <w:t xml:space="preserve">welke gevallen </w:t>
      </w:r>
      <w:r>
        <w:t>geen opschaling aan de orde kan zijn. Bovendien kan het veiligheidshuis worden bevraagd op zijn werkwijze en aanpak, en de wijze waarop ook expertise van het veiligheidshuis kan worden benut – zonder de casus volledig op te schalen. Zo werken we aan een nieuwe dynamiek tussen de lokale en regionale expertise.</w:t>
      </w:r>
    </w:p>
    <w:p w14:paraId="0831B3B7" w14:textId="77777777" w:rsidR="00D44ED7" w:rsidRDefault="00D44ED7" w:rsidP="004417B8"/>
    <w:p w14:paraId="67E716FF" w14:textId="0C1F2F66" w:rsidR="004417B8" w:rsidRPr="003920AD" w:rsidRDefault="004417B8" w:rsidP="004245A1">
      <w:pPr>
        <w:pStyle w:val="Kop2"/>
      </w:pPr>
      <w:r w:rsidRPr="003920AD">
        <w:t xml:space="preserve">2. Informatiedeling en privacy </w:t>
      </w:r>
    </w:p>
    <w:p w14:paraId="2E0D09B7" w14:textId="13C5907B" w:rsidR="004417B8" w:rsidRDefault="004417B8" w:rsidP="004417B8">
      <w:r>
        <w:t xml:space="preserve">Het veiligheidshuis functioneert in een context en systeem waarin het delen van gegevens en informatie tot de kern van de werkzaamheden behoort. Niet alleen bij de bespreking van complexe casuïstiek, waarin veel gegevens op tafel komen, maar ook bij de rol als expertisecentrum en informatieknooppunt zijn informatiedeling en het bewaken van privacy relevant. Bijvoorbeeld een coördinator nazorg voor ex-gedetineerden die voor zijn werk afhankelijk is van informatie van justitiepartners. Of een ambtenaar openbare orde en veiligheid die informatie wil over een uit detentie terugkerende zedendelinquent, om maatschappelijke beroering te voorkomen. Het versterken van de profilering van het veiligheidshuis binnen gemeenten (prioriteit 1) is alleen effectief als de informatiedeling en privacy op orde is, inclusief duidelijk handelingsperspectief voor betrokken professionals. </w:t>
      </w:r>
    </w:p>
    <w:p w14:paraId="6D599000" w14:textId="1D44845F" w:rsidR="004417B8" w:rsidRDefault="004417B8" w:rsidP="004417B8">
      <w:r>
        <w:t>In 2017 is vanuit geconstateerde ‘handelingsverlegenheid’ bij veiligheidshuizen in heel het land een werkgroep ingericht met de landelijke ketenpartners, VNG en Ministerie van Veiligheid &amp; Justitie. Gezamenlijk hebben zij het handvat ‘gegevensdeling in het zorg- en veiligheidsdomein’ vastgesteld. Het is een richtinggevend document specifiek bedoeld voor betrokken professionals, met name procesregisseurs en ketenmanagers. Het handvat geeft een eenduidige interpretatie van de geldende wet- en regelgeving en beschrijft de voor elke partner de geldende juridische kaders.</w:t>
      </w:r>
    </w:p>
    <w:p w14:paraId="18B9ABA1" w14:textId="77777777" w:rsidR="00D44ED7" w:rsidRDefault="00D44ED7">
      <w:pPr>
        <w:spacing w:line="240" w:lineRule="auto"/>
      </w:pPr>
      <w:r>
        <w:br w:type="page"/>
      </w:r>
    </w:p>
    <w:p w14:paraId="1FF63B86" w14:textId="75C81AD1" w:rsidR="004417B8" w:rsidRDefault="004417B8" w:rsidP="004417B8">
      <w:r>
        <w:lastRenderedPageBreak/>
        <w:t>Bij de nulmeting in mei 2017 zijn, middels het handvat Gegevensdeling in het zorg- en veiligheidsdomein, de volgende acties geïnventariseerd om privacy en informatiedeling op orde te brengen:</w:t>
      </w:r>
    </w:p>
    <w:p w14:paraId="44565055" w14:textId="268FAE31" w:rsidR="004417B8" w:rsidRPr="007F1EF0" w:rsidRDefault="004417B8" w:rsidP="004417B8">
      <w:pPr>
        <w:pStyle w:val="Lijstalinea"/>
        <w:numPr>
          <w:ilvl w:val="0"/>
          <w:numId w:val="2"/>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Het opstellen van een actueel en juridisch getoetst (door all</w:t>
      </w:r>
      <w:r w:rsidR="007F1EF0">
        <w:rPr>
          <w:rFonts w:ascii="Univers LT Std 55" w:eastAsiaTheme="minorEastAsia" w:hAnsi="Univers LT Std 55" w:cstheme="minorBidi"/>
          <w:spacing w:val="0"/>
          <w:sz w:val="18"/>
          <w:szCs w:val="24"/>
          <w:lang w:eastAsia="ja-JP"/>
        </w:rPr>
        <w:t xml:space="preserve">e partijen ondertekend) privacy </w:t>
      </w:r>
      <w:r w:rsidRPr="007F1EF0">
        <w:rPr>
          <w:rFonts w:ascii="Univers LT Std 55" w:eastAsiaTheme="minorEastAsia" w:hAnsi="Univers LT Std 55" w:cstheme="minorBidi"/>
          <w:spacing w:val="0"/>
          <w:sz w:val="18"/>
          <w:szCs w:val="24"/>
          <w:lang w:eastAsia="ja-JP"/>
        </w:rPr>
        <w:t>protocol (en aanmelding bij de Autoriteit Persoonsgegevens).</w:t>
      </w:r>
    </w:p>
    <w:p w14:paraId="3E549FC0" w14:textId="319D4268" w:rsidR="004417B8" w:rsidRPr="007F1EF0" w:rsidRDefault="004417B8" w:rsidP="004417B8">
      <w:pPr>
        <w:pStyle w:val="Lijstalinea"/>
        <w:numPr>
          <w:ilvl w:val="0"/>
          <w:numId w:val="2"/>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 xml:space="preserve">Zorgen dat cliëntgegevens niet langer worden </w:t>
      </w:r>
      <w:r w:rsidR="002750F4">
        <w:rPr>
          <w:rFonts w:ascii="Univers LT Std 55" w:eastAsiaTheme="minorEastAsia" w:hAnsi="Univers LT Std 55" w:cstheme="minorBidi"/>
          <w:spacing w:val="0"/>
          <w:sz w:val="18"/>
          <w:szCs w:val="24"/>
          <w:lang w:eastAsia="ja-JP"/>
        </w:rPr>
        <w:t>bewaard dan noodzakelijk voor het</w:t>
      </w:r>
      <w:r w:rsidRPr="007F1EF0">
        <w:rPr>
          <w:rFonts w:ascii="Univers LT Std 55" w:eastAsiaTheme="minorEastAsia" w:hAnsi="Univers LT Std 55" w:cstheme="minorBidi"/>
          <w:spacing w:val="0"/>
          <w:sz w:val="18"/>
          <w:szCs w:val="24"/>
          <w:lang w:eastAsia="ja-JP"/>
        </w:rPr>
        <w:t xml:space="preserve"> doel waarvoor de gegevens zijn vastgelegd.</w:t>
      </w:r>
    </w:p>
    <w:p w14:paraId="4F815E8B" w14:textId="35C55E71" w:rsidR="004417B8" w:rsidRPr="007F1EF0" w:rsidRDefault="002750F4" w:rsidP="004417B8">
      <w:pPr>
        <w:pStyle w:val="Lijstalinea"/>
        <w:numPr>
          <w:ilvl w:val="0"/>
          <w:numId w:val="2"/>
        </w:numPr>
        <w:rPr>
          <w:rFonts w:ascii="Univers LT Std 55" w:eastAsiaTheme="minorEastAsia" w:hAnsi="Univers LT Std 55" w:cstheme="minorBidi"/>
          <w:spacing w:val="0"/>
          <w:sz w:val="18"/>
          <w:szCs w:val="24"/>
          <w:lang w:eastAsia="ja-JP"/>
        </w:rPr>
      </w:pPr>
      <w:r>
        <w:rPr>
          <w:rFonts w:ascii="Univers LT Std 55" w:eastAsiaTheme="minorEastAsia" w:hAnsi="Univers LT Std 55" w:cstheme="minorBidi"/>
          <w:spacing w:val="0"/>
          <w:sz w:val="18"/>
          <w:szCs w:val="24"/>
          <w:lang w:eastAsia="ja-JP"/>
        </w:rPr>
        <w:t>Het periodiek</w:t>
      </w:r>
      <w:r w:rsidR="004417B8" w:rsidRPr="007F1EF0">
        <w:rPr>
          <w:rFonts w:ascii="Univers LT Std 55" w:eastAsiaTheme="minorEastAsia" w:hAnsi="Univers LT Std 55" w:cstheme="minorBidi"/>
          <w:spacing w:val="0"/>
          <w:sz w:val="18"/>
          <w:szCs w:val="24"/>
          <w:lang w:eastAsia="ja-JP"/>
        </w:rPr>
        <w:t xml:space="preserve"> laten uitvoeren van een compliance check.</w:t>
      </w:r>
    </w:p>
    <w:p w14:paraId="3114D383" w14:textId="77777777" w:rsidR="004417B8" w:rsidRPr="007F1EF0" w:rsidRDefault="004417B8" w:rsidP="004417B8">
      <w:pPr>
        <w:pStyle w:val="Lijstalinea"/>
        <w:numPr>
          <w:ilvl w:val="0"/>
          <w:numId w:val="2"/>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Het standaard laten tekenen van een geheimhoudingsverklaring door incidentele partners voorafgaand aan een overleg.</w:t>
      </w:r>
    </w:p>
    <w:p w14:paraId="07031A57" w14:textId="77777777" w:rsidR="004417B8" w:rsidRPr="007F1EF0" w:rsidRDefault="004417B8" w:rsidP="004417B8">
      <w:pPr>
        <w:pStyle w:val="Lijstalinea"/>
        <w:numPr>
          <w:ilvl w:val="0"/>
          <w:numId w:val="2"/>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Het opstellen van een protocol dat in werking treedt in het geval van een datalek.</w:t>
      </w:r>
    </w:p>
    <w:p w14:paraId="1D16359A" w14:textId="77777777" w:rsidR="004417B8" w:rsidRDefault="004417B8" w:rsidP="004417B8"/>
    <w:p w14:paraId="109B01DA" w14:textId="6896E123" w:rsidR="004417B8" w:rsidRDefault="004417B8" w:rsidP="004417B8">
      <w:r>
        <w:t xml:space="preserve">De borging en uitvoering van deze acties vraagt de komende periode om nadere invulling. Essentieel daarbij is dat per 25 mei 2018 de Algemene verordening gegevensbescherming (AVG) van toepassing wordt. Dat betekent dat er vanaf die datum dezelfde privacywetgeving geldt in de hele Europese Unie (EU). Een effectief instrument om voor te bereiden op de AVG is een privacyconvenant.  </w:t>
      </w:r>
    </w:p>
    <w:p w14:paraId="25A2D0A7" w14:textId="77777777" w:rsidR="004417B8" w:rsidRDefault="004417B8" w:rsidP="004417B8">
      <w:pPr>
        <w:pStyle w:val="Kop3"/>
      </w:pPr>
      <w:bookmarkStart w:id="1" w:name="_Toc499119197"/>
      <w:r>
        <w:t>Privacyconvenant</w:t>
      </w:r>
    </w:p>
    <w:p w14:paraId="057FB44F" w14:textId="44C73AD4" w:rsidR="004417B8" w:rsidRDefault="004417B8" w:rsidP="004417B8">
      <w:r>
        <w:t>In het landelijke ‘</w:t>
      </w:r>
      <w:r w:rsidR="004245A1">
        <w:t>handvat Gegevensdeling in het zorg- en veiligheidsdomein</w:t>
      </w:r>
      <w:r>
        <w:t>’ wordt de waarde van een privacyconvenant uitgelegd vanwege de aard van het Veiligheidshuis: een netwerksamenwerking zonder rechtspersoonlijkheid. Dat betekent dat informatie niet altijd door dezelfde organisaties of individuen wordt aangebracht – maar door een diversiteit aan organisaties. Daarom zijn duidelijke afspraken nodig ‘wie, met welk doel en met welke inzet, waarvoor en op welk niveau’ regie voert. Vragen die in een convenant worden beantwoord.</w:t>
      </w:r>
    </w:p>
    <w:p w14:paraId="7F20294E" w14:textId="06EE9FAD" w:rsidR="004417B8" w:rsidRPr="00513E68" w:rsidRDefault="004417B8" w:rsidP="004417B8">
      <w:r>
        <w:t>In een convenant leggen de deelnemende partijen vast op welke manier de wettelijke kaders met elkaar worden ingevuld. In het convenant willen wij, in afstemming met het partneroverleg en met de regionale stuurgroep de gezamenlijke verantwoordelijkheden invullen. Aan de hand daarvan leggen we onze afspraken vast.</w:t>
      </w:r>
    </w:p>
    <w:bookmarkEnd w:id="1"/>
    <w:p w14:paraId="0FDD9AF0" w14:textId="77777777" w:rsidR="004417B8" w:rsidRPr="0031140D" w:rsidRDefault="004417B8" w:rsidP="004417B8">
      <w:pPr>
        <w:pStyle w:val="Kop3"/>
      </w:pPr>
      <w:r>
        <w:t>Privacyprotocol</w:t>
      </w:r>
    </w:p>
    <w:p w14:paraId="29FC803A" w14:textId="62894DAC" w:rsidR="004417B8" w:rsidRDefault="004417B8" w:rsidP="004417B8">
      <w:r>
        <w:t>Aan de hand van het convenant stellen wij een privacyprotocol op. Daarin geven we een preciezere beschrijving van de omgang met persoonlijke gegevens en informatie. In het protocol geven wij ook invulling aan enkele zogenaamde ‘open normen’ uit de (huidige vigerende) wet bescherming persoonsgegevens (</w:t>
      </w:r>
      <w:proofErr w:type="spellStart"/>
      <w:r>
        <w:t>Wbp</w:t>
      </w:r>
      <w:proofErr w:type="spellEnd"/>
      <w:r>
        <w:t xml:space="preserve">). De open normen geven mogelijkheid om </w:t>
      </w:r>
      <w:r w:rsidRPr="00B37A8D">
        <w:t xml:space="preserve">onder verschillende omstandigheden </w:t>
      </w:r>
      <w:r>
        <w:t xml:space="preserve">verschillende invulling te geven aan de omgang met persoonlijke gegevens (zoals het belang van de betrokkenen, de doelstelling van de samenwerking). In het privacyprotocol geven wij een duidelijke procesbeschrijving voor alle betrokkenen en verwerken wij ook </w:t>
      </w:r>
      <w:proofErr w:type="spellStart"/>
      <w:r>
        <w:t>bulletpoints</w:t>
      </w:r>
      <w:proofErr w:type="spellEnd"/>
      <w:r>
        <w:t xml:space="preserve"> 2 en 4 (zie boven) uit de nulmeting van mei 2017. </w:t>
      </w:r>
    </w:p>
    <w:p w14:paraId="56CFEFC9" w14:textId="77777777" w:rsidR="004417B8" w:rsidRPr="003D4EA6" w:rsidRDefault="004417B8" w:rsidP="004417B8">
      <w:pPr>
        <w:rPr>
          <w:i/>
        </w:rPr>
      </w:pPr>
      <w:r>
        <w:rPr>
          <w:i/>
        </w:rPr>
        <w:t>Datalekken</w:t>
      </w:r>
    </w:p>
    <w:p w14:paraId="58806665" w14:textId="4875A65C" w:rsidR="004417B8" w:rsidRDefault="004417B8" w:rsidP="004417B8">
      <w:r>
        <w:t>De Wet meldplicht datalekken (</w:t>
      </w:r>
      <w:proofErr w:type="spellStart"/>
      <w:r>
        <w:t>Wmd</w:t>
      </w:r>
      <w:proofErr w:type="spellEnd"/>
      <w:r>
        <w:t>) is ingegaan per 2016. In deze wet zijn diverse verplichtingen opgenomen over de wijze waarop organisaties dienen te handelen als er sprake is van een datalek (zoals gestolen laptop, hackers, malware-besmetting). Voor organisatie met een hoge informatiedichtheid is een protocol over de omgang met datalekken aan te raden. Daarom zullen wij in een protocol het proces beschrijven in het geval van een datalek. Ook maken we afspraken over het voorkomen van lekken, bijvoorbeeld in het gebruik/beheer van ICT-systemen.</w:t>
      </w:r>
    </w:p>
    <w:p w14:paraId="50E510C0" w14:textId="77777777" w:rsidR="004417B8" w:rsidRPr="004B3233" w:rsidRDefault="004417B8" w:rsidP="004417B8">
      <w:pPr>
        <w:pStyle w:val="Kop3"/>
      </w:pPr>
      <w:bookmarkStart w:id="2" w:name="_Toc499119200"/>
      <w:r w:rsidRPr="004B3233">
        <w:t>Trainingen</w:t>
      </w:r>
      <w:r>
        <w:t xml:space="preserve"> gegevens delen</w:t>
      </w:r>
      <w:bookmarkEnd w:id="2"/>
    </w:p>
    <w:p w14:paraId="3A2F06E1" w14:textId="3734993F" w:rsidR="004417B8" w:rsidRDefault="004417B8" w:rsidP="004417B8">
      <w:r>
        <w:t>Uiteindelijk is de omgang met privacygevoelige gegevens geen werk van systemen, maar van mensen. De professionals van het veiligheidshuis zitten daarbij in een lastige spagaat. Zij weten dat de kwaliteit van samenwerking in het veiligheidshuis afhankelijk is van de mate waarin partners informatie met elkaar delen. Zij ervaren daarbij een spanning tussen enerzijds de Autoriteit Persoonsgegevens die waakt voor de privacy en anderzijds de Inspectie voor Justitie en Veiligheid en de Inspectie Gezondheidszorg die toezien op de kwaliteit van de taakuitvoering. Het actief delen van informatie vraagt daarom een hoog niveau van kennis en vaardigheid waarover de professionals in het veiligheidshuis moeten beschikken. Zij worden daarin getraind door de VNG-academie. Het veiligheidshuis zal een beroep doen op de VNG om deze trainingen te continueren.</w:t>
      </w:r>
    </w:p>
    <w:p w14:paraId="423B817A" w14:textId="236A0F28" w:rsidR="004417B8" w:rsidRPr="004417B8" w:rsidRDefault="004417B8" w:rsidP="004245A1">
      <w:pPr>
        <w:pStyle w:val="Kop2"/>
      </w:pPr>
      <w:bookmarkStart w:id="3" w:name="_Toc499119195"/>
      <w:r w:rsidRPr="00822BB6">
        <w:lastRenderedPageBreak/>
        <w:t>3. De basis op orde</w:t>
      </w:r>
    </w:p>
    <w:p w14:paraId="411068D4" w14:textId="564CD69A" w:rsidR="004417B8" w:rsidRPr="004417B8" w:rsidRDefault="004245A1" w:rsidP="004417B8">
      <w:r>
        <w:t>Effectief optreden van</w:t>
      </w:r>
      <w:r w:rsidR="004417B8">
        <w:t xml:space="preserve"> Baronie Breda kan alleen als algemene faciliteiten op orde zijn. D</w:t>
      </w:r>
      <w:r w:rsidR="004417B8" w:rsidRPr="004E72BE">
        <w:t>at wil zeggen als de uitvoering goed is georganiseerd en de ICT en informatievoorziening</w:t>
      </w:r>
      <w:r w:rsidR="004417B8">
        <w:t xml:space="preserve"> voldoen aan de behoefte van medewerkers en eisen van dit moment. Op een aantal thema’s is daarbij extra aandacht vereist:</w:t>
      </w:r>
    </w:p>
    <w:p w14:paraId="2D9259F8" w14:textId="77777777" w:rsidR="004417B8" w:rsidRPr="004E72BE" w:rsidRDefault="004417B8" w:rsidP="004417B8">
      <w:pPr>
        <w:pStyle w:val="Kop3"/>
      </w:pPr>
      <w:r w:rsidRPr="004E72BE">
        <w:t>Beheer en sturing</w:t>
      </w:r>
      <w:bookmarkEnd w:id="3"/>
    </w:p>
    <w:p w14:paraId="20CCD8A2" w14:textId="60E0E50E" w:rsidR="004417B8" w:rsidRDefault="004417B8" w:rsidP="004417B8">
      <w:r>
        <w:t>Voor advisering en/of ten- uitvoerlegging van sancties zijn afspraken nodig met reclasseringsorganisaties, Dienst Justitiële Inrichtingen (DJI) en de Raad voor de Kinderbescherming (</w:t>
      </w:r>
      <w:proofErr w:type="spellStart"/>
      <w:r>
        <w:t>RvdK</w:t>
      </w:r>
      <w:proofErr w:type="spellEnd"/>
      <w:r>
        <w:t>) over hun rol bij complexe casuïstiek. Goed voorbeeld in dit kader is de pilot ISD met afspraken voor een inrichting van zeer actieve jongvolwasse</w:t>
      </w:r>
      <w:r w:rsidR="002750F4">
        <w:t xml:space="preserve">n stelstelmatige daders. </w:t>
      </w:r>
      <w:r w:rsidR="00074109">
        <w:t>Net als</w:t>
      </w:r>
      <w:r>
        <w:t xml:space="preserve"> alle andere veiligheidshuizen willen we uiterlijk in 2020 de afspraken met deze justitiële partners hebben</w:t>
      </w:r>
      <w:r w:rsidR="00074109">
        <w:t xml:space="preserve"> aangescherpt. De pilot ISD zal in 2018 worden afgerond en geëvalueerd.</w:t>
      </w:r>
    </w:p>
    <w:p w14:paraId="6D9F7300" w14:textId="77777777" w:rsidR="004417B8" w:rsidRDefault="004417B8" w:rsidP="004417B8">
      <w:r>
        <w:t>Sterkere positionering van de districtelijke stuurgroep (voorheen bestuur) en het partneroverleg (voorheen stuurgroep directeuren) vraagt om strakke procesleiding. De afspraken uit het samenwerkingsconvenant worden daarom vertaald in een herkenbare wijze van afstemming, vaststelling en rapportage tussen stuurgroep, ketenmanager en het partneroverleg. Deze strakkere procesleiding komt in ieder geval zichtbaar terug bij:</w:t>
      </w:r>
    </w:p>
    <w:p w14:paraId="190BB107" w14:textId="77777777" w:rsidR="004417B8" w:rsidRPr="007F1EF0" w:rsidRDefault="004417B8" w:rsidP="004417B8">
      <w:pPr>
        <w:pStyle w:val="Lijstalinea"/>
        <w:numPr>
          <w:ilvl w:val="0"/>
          <w:numId w:val="3"/>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De verbinding tussen het partneroverleg (strategisch vooroverleg) en de stuurgroep (strategische besluitvorming) op basis van de afspraak uit de ‘analyse van governance en rechtsvormen’.</w:t>
      </w:r>
    </w:p>
    <w:p w14:paraId="70930DEA" w14:textId="373AF0EA" w:rsidR="004417B8" w:rsidRPr="007F1EF0" w:rsidRDefault="004417B8" w:rsidP="004417B8">
      <w:pPr>
        <w:pStyle w:val="Lijstalinea"/>
        <w:numPr>
          <w:ilvl w:val="0"/>
          <w:numId w:val="3"/>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 xml:space="preserve">Vaststelling van jaarverslag met -rekening; jaarplan en </w:t>
      </w:r>
      <w:r w:rsidR="008218A1" w:rsidRPr="007F1EF0">
        <w:rPr>
          <w:rFonts w:ascii="Univers LT Std 55" w:eastAsiaTheme="minorEastAsia" w:hAnsi="Univers LT Std 55" w:cstheme="minorBidi"/>
          <w:spacing w:val="0"/>
          <w:sz w:val="18"/>
          <w:szCs w:val="24"/>
          <w:lang w:eastAsia="ja-JP"/>
        </w:rPr>
        <w:t>(</w:t>
      </w:r>
      <w:proofErr w:type="spellStart"/>
      <w:r w:rsidR="008218A1" w:rsidRPr="007F1EF0">
        <w:rPr>
          <w:rFonts w:ascii="Univers LT Std 55" w:eastAsiaTheme="minorEastAsia" w:hAnsi="Univers LT Std 55" w:cstheme="minorBidi"/>
          <w:spacing w:val="0"/>
          <w:sz w:val="18"/>
          <w:szCs w:val="24"/>
          <w:lang w:eastAsia="ja-JP"/>
        </w:rPr>
        <w:t>meerjaren</w:t>
      </w:r>
      <w:proofErr w:type="spellEnd"/>
      <w:r w:rsidR="008218A1" w:rsidRPr="007F1EF0">
        <w:rPr>
          <w:rFonts w:ascii="Univers LT Std 55" w:eastAsiaTheme="minorEastAsia" w:hAnsi="Univers LT Std 55" w:cstheme="minorBidi"/>
          <w:spacing w:val="0"/>
          <w:sz w:val="18"/>
          <w:szCs w:val="24"/>
          <w:lang w:eastAsia="ja-JP"/>
        </w:rPr>
        <w:t xml:space="preserve">) </w:t>
      </w:r>
      <w:r w:rsidRPr="007F1EF0">
        <w:rPr>
          <w:rFonts w:ascii="Univers LT Std 55" w:eastAsiaTheme="minorEastAsia" w:hAnsi="Univers LT Std 55" w:cstheme="minorBidi"/>
          <w:spacing w:val="0"/>
          <w:sz w:val="18"/>
          <w:szCs w:val="24"/>
          <w:lang w:eastAsia="ja-JP"/>
        </w:rPr>
        <w:t>begroting in de stuurgroep.</w:t>
      </w:r>
    </w:p>
    <w:p w14:paraId="5489C8EF" w14:textId="77777777" w:rsidR="004417B8" w:rsidRPr="007F1EF0" w:rsidRDefault="004417B8" w:rsidP="004417B8">
      <w:pPr>
        <w:pStyle w:val="Lijstalinea"/>
        <w:numPr>
          <w:ilvl w:val="0"/>
          <w:numId w:val="3"/>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Periodieke terugkoppeling van actualiteiten</w:t>
      </w:r>
    </w:p>
    <w:p w14:paraId="44EE6D7D" w14:textId="77777777" w:rsidR="004417B8" w:rsidRPr="007F1EF0" w:rsidRDefault="004417B8" w:rsidP="004417B8">
      <w:pPr>
        <w:pStyle w:val="Lijstalinea"/>
        <w:numPr>
          <w:ilvl w:val="0"/>
          <w:numId w:val="3"/>
        </w:numPr>
        <w:rPr>
          <w:rFonts w:ascii="Univers LT Std 55" w:eastAsiaTheme="minorEastAsia" w:hAnsi="Univers LT Std 55" w:cstheme="minorBidi"/>
          <w:spacing w:val="0"/>
          <w:sz w:val="18"/>
          <w:szCs w:val="24"/>
          <w:lang w:eastAsia="ja-JP"/>
        </w:rPr>
      </w:pPr>
      <w:r w:rsidRPr="007F1EF0">
        <w:rPr>
          <w:rFonts w:ascii="Univers LT Std 55" w:eastAsiaTheme="minorEastAsia" w:hAnsi="Univers LT Std 55" w:cstheme="minorBidi"/>
          <w:spacing w:val="0"/>
          <w:sz w:val="18"/>
          <w:szCs w:val="24"/>
          <w:lang w:eastAsia="ja-JP"/>
        </w:rPr>
        <w:t>Rapportage van structurele knelpunten (zie boven).</w:t>
      </w:r>
    </w:p>
    <w:p w14:paraId="09EB2722" w14:textId="77777777" w:rsidR="004417B8" w:rsidRDefault="004417B8" w:rsidP="004417B8"/>
    <w:p w14:paraId="1D490B36" w14:textId="77777777" w:rsidR="004417B8" w:rsidRDefault="004417B8" w:rsidP="004417B8">
      <w:pPr>
        <w:pStyle w:val="Kop3"/>
      </w:pPr>
      <w:bookmarkStart w:id="4" w:name="_Toc499119196"/>
      <w:r>
        <w:t>Personeel</w:t>
      </w:r>
      <w:bookmarkEnd w:id="4"/>
    </w:p>
    <w:p w14:paraId="29555F97" w14:textId="5B80ACC2" w:rsidR="004417B8" w:rsidRDefault="004417B8" w:rsidP="004417B8">
      <w:r>
        <w:t>Het personeel van het Veiligheidshuis is in dienst via een payroll-constructie. Dat heeft nadelen: het is per definitie tijdelijk, duur en heeft risico’s in de beeldvorming. De gemeente Breda is</w:t>
      </w:r>
      <w:r w:rsidR="007F1EF0">
        <w:t xml:space="preserve"> bereid om bij totstandkoming van het nieuwe samenwerkingsconvenant</w:t>
      </w:r>
      <w:r>
        <w:t xml:space="preserve"> een vaste kern van het personeel in dienst te nemen, als de daarmee gepaard gaande risico’s gedekt worden door de partners in het samenwerkingsconvenant. Daarnaast zal er een flexibele schil verbonden blijven aan het veiligheidshuis via payroll. We maken binnen de stuurgroep en met de gemeente Breda duidelijke afspraken over de wijze waarop risico’s worden afgedekt, de financiering van de salarissen en verantwoordelijkheden rondom werving en persoonlijke ontwikkeling. </w:t>
      </w:r>
    </w:p>
    <w:p w14:paraId="1399F225" w14:textId="310EF4ED" w:rsidR="004417B8" w:rsidRDefault="004245A1" w:rsidP="004417B8">
      <w:r>
        <w:t>Daarnaast is in</w:t>
      </w:r>
      <w:r w:rsidR="004417B8">
        <w:t xml:space="preserve"> Baronie Breda sprake van een duidelijke </w:t>
      </w:r>
      <w:r w:rsidR="004417B8" w:rsidRPr="008518D4">
        <w:t xml:space="preserve">verwevenheid </w:t>
      </w:r>
      <w:r w:rsidR="004417B8">
        <w:t xml:space="preserve">tussen </w:t>
      </w:r>
      <w:r w:rsidR="004417B8" w:rsidRPr="008518D4">
        <w:t xml:space="preserve">de gemeentelijke rol </w:t>
      </w:r>
      <w:r w:rsidR="004417B8">
        <w:t xml:space="preserve">(stadsmarinier) </w:t>
      </w:r>
      <w:r w:rsidR="004417B8" w:rsidRPr="008518D4">
        <w:t xml:space="preserve">en </w:t>
      </w:r>
      <w:r w:rsidR="004417B8">
        <w:t xml:space="preserve">rol in het </w:t>
      </w:r>
      <w:r w:rsidR="004417B8" w:rsidRPr="008518D4">
        <w:t>veiligheidshuis</w:t>
      </w:r>
      <w:r w:rsidR="004417B8">
        <w:t xml:space="preserve"> (procesregisseur)</w:t>
      </w:r>
      <w:r w:rsidR="004417B8" w:rsidRPr="008518D4">
        <w:t xml:space="preserve">. </w:t>
      </w:r>
      <w:r w:rsidR="004417B8">
        <w:t>In het</w:t>
      </w:r>
      <w:r w:rsidR="007F1EF0">
        <w:t xml:space="preserve"> landelijke</w:t>
      </w:r>
      <w:r w:rsidR="004417B8">
        <w:t xml:space="preserve"> onderzoek naar </w:t>
      </w:r>
      <w:r w:rsidR="004417B8" w:rsidRPr="008518D4">
        <w:t xml:space="preserve">radicalisering </w:t>
      </w:r>
      <w:r w:rsidR="004417B8">
        <w:t xml:space="preserve">is </w:t>
      </w:r>
      <w:r w:rsidR="004417B8" w:rsidRPr="008518D4">
        <w:t xml:space="preserve">de laagdrempelige en pragmatisch </w:t>
      </w:r>
      <w:r w:rsidR="004417B8">
        <w:t>aanpak van het veiligheidshuis geprezen, maar werd aanbevolen om de personele verwevenheid duidelijker te scheiden. Die aanbeveling pakken we op. In 2018 maakt het veiligheidshuis afspraken met de gemeente Breda om de</w:t>
      </w:r>
      <w:r w:rsidR="004417B8" w:rsidRPr="008518D4">
        <w:t xml:space="preserve"> </w:t>
      </w:r>
      <w:r w:rsidR="004417B8">
        <w:t>verantwoordelijkheden van stadsmarinier</w:t>
      </w:r>
      <w:r w:rsidR="004417B8" w:rsidRPr="008518D4">
        <w:t xml:space="preserve"> gemeente</w:t>
      </w:r>
      <w:r w:rsidR="004417B8">
        <w:t xml:space="preserve"> Breda</w:t>
      </w:r>
      <w:r w:rsidR="004417B8" w:rsidRPr="008518D4">
        <w:t xml:space="preserve"> en</w:t>
      </w:r>
      <w:r w:rsidR="004417B8">
        <w:t xml:space="preserve"> procesregisseur veiligheidshuis duidelijker uit elkaar te trekken.</w:t>
      </w:r>
    </w:p>
    <w:p w14:paraId="13EB3DD3" w14:textId="77777777" w:rsidR="004417B8" w:rsidRDefault="004417B8" w:rsidP="004417B8">
      <w:pPr>
        <w:pStyle w:val="Kop3"/>
      </w:pPr>
      <w:r>
        <w:t>ICT</w:t>
      </w:r>
    </w:p>
    <w:p w14:paraId="63BF93E1" w14:textId="1986C54B" w:rsidR="004417B8" w:rsidRDefault="004417B8" w:rsidP="004417B8">
      <w:r>
        <w:t>Grotere uniformering in het gebruik van systemen met de andere veiligheidshuizen geeft wederzijds profijt. Daarom zetten wij in 2018 in op frequente afstemming en gezamenlijk inrichten van werkprocessen en gebruik van de ICT. Dat gebeurt door (frequent) overleg tussen de managers onderling en ook de ICT-beheerders,  ten behoeve van de verwerking van informatie.</w:t>
      </w:r>
    </w:p>
    <w:p w14:paraId="479908C3" w14:textId="77777777" w:rsidR="004417B8" w:rsidRDefault="004417B8" w:rsidP="004417B8">
      <w:pPr>
        <w:pStyle w:val="Kop3"/>
      </w:pPr>
      <w:r>
        <w:t>Administratief</w:t>
      </w:r>
    </w:p>
    <w:p w14:paraId="54F1FB81" w14:textId="77777777" w:rsidR="004417B8" w:rsidRDefault="004417B8" w:rsidP="004417B8">
      <w:r>
        <w:t>Partners gebruiken faciliteiten van het veiligheidshuis ten behoeve van de samenwerking. We continueren de administratieve ondersteuning aan Veilig Thuis, MASS en het KR8-kollektief voor het voeren van casusoverleg en netwerkberaad. Waar mogelijk bouwen we op basis van het gezamenlijk gebruik van de faciliteiten de samenwerking verder uit.</w:t>
      </w:r>
    </w:p>
    <w:p w14:paraId="2097FE3C" w14:textId="221CCC1B" w:rsidR="004417B8" w:rsidRDefault="004417B8" w:rsidP="00F46245">
      <w:pPr>
        <w:spacing w:line="240" w:lineRule="auto"/>
        <w:rPr>
          <w:sz w:val="20"/>
          <w:szCs w:val="20"/>
        </w:rPr>
      </w:pPr>
      <w:r>
        <w:rPr>
          <w:sz w:val="20"/>
          <w:szCs w:val="20"/>
        </w:rPr>
        <w:br w:type="page"/>
      </w:r>
    </w:p>
    <w:tbl>
      <w:tblPr>
        <w:tblStyle w:val="Tabelraster"/>
        <w:tblW w:w="0" w:type="auto"/>
        <w:tblLook w:val="04A0" w:firstRow="1" w:lastRow="0" w:firstColumn="1" w:lastColumn="0" w:noHBand="0" w:noVBand="1"/>
      </w:tblPr>
      <w:tblGrid>
        <w:gridCol w:w="2301"/>
        <w:gridCol w:w="2769"/>
        <w:gridCol w:w="1833"/>
        <w:gridCol w:w="2301"/>
      </w:tblGrid>
      <w:tr w:rsidR="004417B8" w14:paraId="33A73507" w14:textId="77777777" w:rsidTr="005D31EF">
        <w:tc>
          <w:tcPr>
            <w:tcW w:w="2301" w:type="dxa"/>
          </w:tcPr>
          <w:p w14:paraId="4E5BE20E" w14:textId="77777777" w:rsidR="004417B8" w:rsidRDefault="00F46245" w:rsidP="004245A1">
            <w:pPr>
              <w:pStyle w:val="Kop2"/>
              <w:outlineLvl w:val="1"/>
            </w:pPr>
            <w:r w:rsidRPr="004245A1">
              <w:lastRenderedPageBreak/>
              <w:t>ACTIVITEITEN</w:t>
            </w:r>
          </w:p>
          <w:p w14:paraId="1499E357" w14:textId="45CEF9B5" w:rsidR="0012390D" w:rsidRPr="0012390D" w:rsidRDefault="0012390D" w:rsidP="0012390D"/>
        </w:tc>
        <w:tc>
          <w:tcPr>
            <w:tcW w:w="2769" w:type="dxa"/>
          </w:tcPr>
          <w:p w14:paraId="6EB32D09" w14:textId="77777777" w:rsidR="004417B8" w:rsidRDefault="004417B8" w:rsidP="00C45847">
            <w:pPr>
              <w:spacing w:after="120" w:line="240" w:lineRule="auto"/>
              <w:rPr>
                <w:sz w:val="20"/>
                <w:szCs w:val="20"/>
              </w:rPr>
            </w:pPr>
          </w:p>
        </w:tc>
        <w:tc>
          <w:tcPr>
            <w:tcW w:w="1833" w:type="dxa"/>
          </w:tcPr>
          <w:p w14:paraId="6AD3A775" w14:textId="77777777" w:rsidR="004417B8" w:rsidRDefault="004417B8" w:rsidP="00C45847">
            <w:pPr>
              <w:spacing w:after="120" w:line="240" w:lineRule="auto"/>
              <w:rPr>
                <w:sz w:val="20"/>
                <w:szCs w:val="20"/>
              </w:rPr>
            </w:pPr>
          </w:p>
        </w:tc>
        <w:tc>
          <w:tcPr>
            <w:tcW w:w="2301" w:type="dxa"/>
          </w:tcPr>
          <w:p w14:paraId="54CC10A4" w14:textId="77777777" w:rsidR="004417B8" w:rsidRDefault="004417B8" w:rsidP="00C45847">
            <w:pPr>
              <w:spacing w:after="120" w:line="240" w:lineRule="auto"/>
              <w:rPr>
                <w:sz w:val="20"/>
                <w:szCs w:val="20"/>
              </w:rPr>
            </w:pPr>
          </w:p>
        </w:tc>
      </w:tr>
      <w:tr w:rsidR="004417B8" w14:paraId="3D471F8B" w14:textId="77777777" w:rsidTr="005D31EF">
        <w:tc>
          <w:tcPr>
            <w:tcW w:w="2301" w:type="dxa"/>
          </w:tcPr>
          <w:p w14:paraId="30AA1207" w14:textId="4180C8F2" w:rsidR="004417B8" w:rsidRDefault="00F46245" w:rsidP="004245A1">
            <w:pPr>
              <w:pStyle w:val="Kop4"/>
              <w:outlineLvl w:val="3"/>
            </w:pPr>
            <w:r>
              <w:t>onderwerp</w:t>
            </w:r>
          </w:p>
        </w:tc>
        <w:tc>
          <w:tcPr>
            <w:tcW w:w="2769" w:type="dxa"/>
          </w:tcPr>
          <w:p w14:paraId="07827123" w14:textId="58C69329" w:rsidR="004417B8" w:rsidRDefault="00F46245" w:rsidP="004245A1">
            <w:pPr>
              <w:pStyle w:val="Kop4"/>
              <w:outlineLvl w:val="3"/>
            </w:pPr>
            <w:r>
              <w:t>inhoudelijk</w:t>
            </w:r>
          </w:p>
        </w:tc>
        <w:tc>
          <w:tcPr>
            <w:tcW w:w="1833" w:type="dxa"/>
          </w:tcPr>
          <w:p w14:paraId="323AEFFB" w14:textId="3D5D0B0B" w:rsidR="004417B8" w:rsidRDefault="00F46245" w:rsidP="004245A1">
            <w:pPr>
              <w:pStyle w:val="Kop4"/>
              <w:outlineLvl w:val="3"/>
            </w:pPr>
            <w:r>
              <w:t>prognose</w:t>
            </w:r>
          </w:p>
        </w:tc>
        <w:tc>
          <w:tcPr>
            <w:tcW w:w="2301" w:type="dxa"/>
          </w:tcPr>
          <w:p w14:paraId="1A1546BA" w14:textId="06A0D13E" w:rsidR="004417B8" w:rsidRDefault="00C9621C" w:rsidP="00C9621C">
            <w:pPr>
              <w:pStyle w:val="Kop4"/>
              <w:outlineLvl w:val="3"/>
              <w:rPr>
                <w:sz w:val="20"/>
                <w:szCs w:val="20"/>
              </w:rPr>
            </w:pPr>
            <w:r w:rsidRPr="00C9621C">
              <w:t>gereed</w:t>
            </w:r>
          </w:p>
        </w:tc>
      </w:tr>
      <w:tr w:rsidR="005D31EF" w14:paraId="434A4467" w14:textId="77777777" w:rsidTr="005D31EF">
        <w:tc>
          <w:tcPr>
            <w:tcW w:w="2301" w:type="dxa"/>
          </w:tcPr>
          <w:p w14:paraId="2B1DBAFB" w14:textId="132F0966" w:rsidR="005D31EF" w:rsidRDefault="005D31EF" w:rsidP="00C45847">
            <w:pPr>
              <w:spacing w:after="120" w:line="240" w:lineRule="auto"/>
              <w:rPr>
                <w:sz w:val="20"/>
                <w:szCs w:val="20"/>
              </w:rPr>
            </w:pPr>
            <w:r>
              <w:rPr>
                <w:sz w:val="20"/>
                <w:szCs w:val="20"/>
              </w:rPr>
              <w:t>Selectie van zaken</w:t>
            </w:r>
          </w:p>
        </w:tc>
        <w:tc>
          <w:tcPr>
            <w:tcW w:w="2769" w:type="dxa"/>
          </w:tcPr>
          <w:p w14:paraId="2E9AF5B1" w14:textId="153FA1CC" w:rsidR="005D31EF" w:rsidRDefault="005D31EF" w:rsidP="00C45847">
            <w:pPr>
              <w:spacing w:after="120" w:line="240" w:lineRule="auto"/>
              <w:rPr>
                <w:sz w:val="20"/>
                <w:szCs w:val="20"/>
              </w:rPr>
            </w:pPr>
            <w:r>
              <w:rPr>
                <w:sz w:val="20"/>
                <w:szCs w:val="20"/>
              </w:rPr>
              <w:t>Ontwikkelen van een methode voor gericht zoeken en selecteren van zaken</w:t>
            </w:r>
          </w:p>
        </w:tc>
        <w:tc>
          <w:tcPr>
            <w:tcW w:w="1833" w:type="dxa"/>
          </w:tcPr>
          <w:p w14:paraId="09D05E39" w14:textId="77777777" w:rsidR="005D31EF" w:rsidRDefault="005D31EF" w:rsidP="00C45847">
            <w:pPr>
              <w:spacing w:after="120" w:line="240" w:lineRule="auto"/>
              <w:rPr>
                <w:sz w:val="20"/>
                <w:szCs w:val="20"/>
              </w:rPr>
            </w:pPr>
          </w:p>
        </w:tc>
        <w:tc>
          <w:tcPr>
            <w:tcW w:w="2301" w:type="dxa"/>
          </w:tcPr>
          <w:p w14:paraId="19BB58CC" w14:textId="7120E009" w:rsidR="005D31EF" w:rsidRDefault="005D31EF" w:rsidP="00C45847">
            <w:pPr>
              <w:spacing w:after="120" w:line="240" w:lineRule="auto"/>
              <w:rPr>
                <w:sz w:val="20"/>
                <w:szCs w:val="20"/>
              </w:rPr>
            </w:pPr>
            <w:r>
              <w:rPr>
                <w:sz w:val="20"/>
                <w:szCs w:val="20"/>
              </w:rPr>
              <w:t>Juni 2018</w:t>
            </w:r>
          </w:p>
        </w:tc>
      </w:tr>
      <w:tr w:rsidR="00B02701" w14:paraId="3911B1CD" w14:textId="77777777" w:rsidTr="005D31EF">
        <w:tc>
          <w:tcPr>
            <w:tcW w:w="2301" w:type="dxa"/>
          </w:tcPr>
          <w:p w14:paraId="01E4C1AF" w14:textId="4B8C140C" w:rsidR="00B02701" w:rsidRDefault="00B02701" w:rsidP="00C45847">
            <w:pPr>
              <w:spacing w:after="120" w:line="240" w:lineRule="auto"/>
              <w:rPr>
                <w:sz w:val="20"/>
                <w:szCs w:val="20"/>
              </w:rPr>
            </w:pPr>
            <w:r>
              <w:rPr>
                <w:sz w:val="20"/>
                <w:szCs w:val="20"/>
              </w:rPr>
              <w:t>Aanpak complexe casuïstiek</w:t>
            </w:r>
          </w:p>
        </w:tc>
        <w:tc>
          <w:tcPr>
            <w:tcW w:w="2769" w:type="dxa"/>
          </w:tcPr>
          <w:p w14:paraId="3FE70B66" w14:textId="3E24576F" w:rsidR="00B02701" w:rsidRDefault="00B02701" w:rsidP="00C45847">
            <w:pPr>
              <w:spacing w:after="120" w:line="240" w:lineRule="auto"/>
              <w:rPr>
                <w:sz w:val="20"/>
                <w:szCs w:val="20"/>
              </w:rPr>
            </w:pPr>
            <w:r>
              <w:rPr>
                <w:sz w:val="20"/>
                <w:szCs w:val="20"/>
              </w:rPr>
              <w:t>Geven van advies op verzoek</w:t>
            </w:r>
          </w:p>
        </w:tc>
        <w:tc>
          <w:tcPr>
            <w:tcW w:w="1833" w:type="dxa"/>
          </w:tcPr>
          <w:p w14:paraId="1DAD2412" w14:textId="57E9DEE2" w:rsidR="00B02701" w:rsidRDefault="00B02701" w:rsidP="00C45847">
            <w:pPr>
              <w:spacing w:after="120" w:line="240" w:lineRule="auto"/>
              <w:rPr>
                <w:sz w:val="20"/>
                <w:szCs w:val="20"/>
              </w:rPr>
            </w:pPr>
            <w:r>
              <w:rPr>
                <w:sz w:val="20"/>
                <w:szCs w:val="20"/>
              </w:rPr>
              <w:t>300 zaken</w:t>
            </w:r>
          </w:p>
        </w:tc>
        <w:tc>
          <w:tcPr>
            <w:tcW w:w="2301" w:type="dxa"/>
          </w:tcPr>
          <w:p w14:paraId="164D931E" w14:textId="6C0461E9" w:rsidR="00B02701" w:rsidRDefault="005759E4" w:rsidP="00C45847">
            <w:pPr>
              <w:spacing w:after="120" w:line="240" w:lineRule="auto"/>
              <w:rPr>
                <w:sz w:val="20"/>
                <w:szCs w:val="20"/>
              </w:rPr>
            </w:pPr>
            <w:r>
              <w:rPr>
                <w:sz w:val="20"/>
                <w:szCs w:val="20"/>
              </w:rPr>
              <w:t>December 2018</w:t>
            </w:r>
          </w:p>
        </w:tc>
      </w:tr>
      <w:tr w:rsidR="00B02701" w14:paraId="4F2AC207" w14:textId="77777777" w:rsidTr="005D31EF">
        <w:tc>
          <w:tcPr>
            <w:tcW w:w="2301" w:type="dxa"/>
          </w:tcPr>
          <w:p w14:paraId="79C2052C" w14:textId="77777777" w:rsidR="00B02701" w:rsidRDefault="00B02701" w:rsidP="00C45847">
            <w:pPr>
              <w:spacing w:after="120" w:line="240" w:lineRule="auto"/>
              <w:rPr>
                <w:sz w:val="20"/>
                <w:szCs w:val="20"/>
              </w:rPr>
            </w:pPr>
          </w:p>
        </w:tc>
        <w:tc>
          <w:tcPr>
            <w:tcW w:w="2769" w:type="dxa"/>
          </w:tcPr>
          <w:p w14:paraId="234D6E95" w14:textId="3A05486F" w:rsidR="00B02701" w:rsidRDefault="00B02701" w:rsidP="00C45847">
            <w:pPr>
              <w:spacing w:after="120" w:line="240" w:lineRule="auto"/>
              <w:rPr>
                <w:sz w:val="20"/>
                <w:szCs w:val="20"/>
              </w:rPr>
            </w:pPr>
            <w:r>
              <w:rPr>
                <w:sz w:val="20"/>
                <w:szCs w:val="20"/>
              </w:rPr>
              <w:t>Uitvoeren van gezamenlijke triage met MASS en Veilig Thuis</w:t>
            </w:r>
          </w:p>
        </w:tc>
        <w:tc>
          <w:tcPr>
            <w:tcW w:w="1833" w:type="dxa"/>
          </w:tcPr>
          <w:p w14:paraId="6C981EDF" w14:textId="42186BBA" w:rsidR="00B02701" w:rsidRDefault="00B02701" w:rsidP="00C45847">
            <w:pPr>
              <w:spacing w:after="120" w:line="240" w:lineRule="auto"/>
              <w:rPr>
                <w:sz w:val="20"/>
                <w:szCs w:val="20"/>
              </w:rPr>
            </w:pPr>
            <w:r>
              <w:rPr>
                <w:sz w:val="20"/>
                <w:szCs w:val="20"/>
              </w:rPr>
              <w:t>90 zaken</w:t>
            </w:r>
          </w:p>
        </w:tc>
        <w:tc>
          <w:tcPr>
            <w:tcW w:w="2301" w:type="dxa"/>
          </w:tcPr>
          <w:p w14:paraId="22E53B90" w14:textId="7F2D272B" w:rsidR="00B02701" w:rsidRDefault="005759E4" w:rsidP="00C45847">
            <w:pPr>
              <w:spacing w:after="120" w:line="240" w:lineRule="auto"/>
              <w:rPr>
                <w:sz w:val="20"/>
                <w:szCs w:val="20"/>
              </w:rPr>
            </w:pPr>
            <w:r>
              <w:rPr>
                <w:sz w:val="20"/>
                <w:szCs w:val="20"/>
              </w:rPr>
              <w:t>December 2018</w:t>
            </w:r>
          </w:p>
        </w:tc>
      </w:tr>
      <w:tr w:rsidR="00B02701" w14:paraId="5ECB789E" w14:textId="77777777" w:rsidTr="005D31EF">
        <w:tc>
          <w:tcPr>
            <w:tcW w:w="2301" w:type="dxa"/>
          </w:tcPr>
          <w:p w14:paraId="7AFF36DB" w14:textId="77777777" w:rsidR="00B02701" w:rsidRDefault="00B02701" w:rsidP="00C45847">
            <w:pPr>
              <w:spacing w:after="120" w:line="240" w:lineRule="auto"/>
              <w:rPr>
                <w:sz w:val="20"/>
                <w:szCs w:val="20"/>
              </w:rPr>
            </w:pPr>
          </w:p>
        </w:tc>
        <w:tc>
          <w:tcPr>
            <w:tcW w:w="2769" w:type="dxa"/>
          </w:tcPr>
          <w:p w14:paraId="2BE85A68" w14:textId="673CC837" w:rsidR="00B02701" w:rsidRDefault="00B02701" w:rsidP="00C45847">
            <w:pPr>
              <w:spacing w:after="120" w:line="240" w:lineRule="auto"/>
              <w:rPr>
                <w:sz w:val="20"/>
                <w:szCs w:val="20"/>
              </w:rPr>
            </w:pPr>
            <w:r>
              <w:rPr>
                <w:sz w:val="20"/>
                <w:szCs w:val="20"/>
              </w:rPr>
              <w:t>Voeren van regie over complexe casuïstiek</w:t>
            </w:r>
          </w:p>
        </w:tc>
        <w:tc>
          <w:tcPr>
            <w:tcW w:w="1833" w:type="dxa"/>
          </w:tcPr>
          <w:p w14:paraId="0BE12260" w14:textId="3DE9A06D" w:rsidR="00B02701" w:rsidRDefault="00B02701" w:rsidP="00C45847">
            <w:pPr>
              <w:spacing w:after="120" w:line="240" w:lineRule="auto"/>
              <w:rPr>
                <w:sz w:val="20"/>
                <w:szCs w:val="20"/>
              </w:rPr>
            </w:pPr>
            <w:r>
              <w:rPr>
                <w:sz w:val="20"/>
                <w:szCs w:val="20"/>
              </w:rPr>
              <w:t>40 zaken</w:t>
            </w:r>
          </w:p>
        </w:tc>
        <w:tc>
          <w:tcPr>
            <w:tcW w:w="2301" w:type="dxa"/>
          </w:tcPr>
          <w:p w14:paraId="56F06124" w14:textId="0244A2AC" w:rsidR="00B02701" w:rsidRDefault="005759E4" w:rsidP="00C45847">
            <w:pPr>
              <w:spacing w:after="120" w:line="240" w:lineRule="auto"/>
              <w:rPr>
                <w:sz w:val="20"/>
                <w:szCs w:val="20"/>
              </w:rPr>
            </w:pPr>
            <w:r>
              <w:rPr>
                <w:sz w:val="20"/>
                <w:szCs w:val="20"/>
              </w:rPr>
              <w:t>December 2018</w:t>
            </w:r>
          </w:p>
        </w:tc>
      </w:tr>
      <w:tr w:rsidR="004417B8" w14:paraId="19991C0A" w14:textId="77777777" w:rsidTr="005D31EF">
        <w:tc>
          <w:tcPr>
            <w:tcW w:w="2301" w:type="dxa"/>
          </w:tcPr>
          <w:p w14:paraId="6C91E665" w14:textId="2FDB1897" w:rsidR="004417B8" w:rsidRDefault="004417B8" w:rsidP="00C45847">
            <w:pPr>
              <w:spacing w:after="120" w:line="240" w:lineRule="auto"/>
              <w:rPr>
                <w:sz w:val="20"/>
                <w:szCs w:val="20"/>
              </w:rPr>
            </w:pPr>
            <w:r>
              <w:rPr>
                <w:sz w:val="20"/>
                <w:szCs w:val="20"/>
              </w:rPr>
              <w:t>Bieden van faciliteiten aan partnerorganisaties</w:t>
            </w:r>
          </w:p>
        </w:tc>
        <w:tc>
          <w:tcPr>
            <w:tcW w:w="2769" w:type="dxa"/>
          </w:tcPr>
          <w:p w14:paraId="344094CC" w14:textId="51864C8F" w:rsidR="004417B8" w:rsidRDefault="00B02701" w:rsidP="00C45847">
            <w:pPr>
              <w:spacing w:after="120" w:line="240" w:lineRule="auto"/>
              <w:rPr>
                <w:sz w:val="20"/>
                <w:szCs w:val="20"/>
              </w:rPr>
            </w:pPr>
            <w:r>
              <w:rPr>
                <w:sz w:val="20"/>
                <w:szCs w:val="20"/>
              </w:rPr>
              <w:t>Continueren van administratieve ondersteuning aan partners t.b.v. casusoverleg</w:t>
            </w:r>
          </w:p>
        </w:tc>
        <w:tc>
          <w:tcPr>
            <w:tcW w:w="1833" w:type="dxa"/>
          </w:tcPr>
          <w:p w14:paraId="6E3DB242" w14:textId="355CE116" w:rsidR="004417B8" w:rsidRDefault="005D31EF" w:rsidP="00C45847">
            <w:pPr>
              <w:spacing w:after="120" w:line="240" w:lineRule="auto"/>
              <w:rPr>
                <w:sz w:val="20"/>
                <w:szCs w:val="20"/>
              </w:rPr>
            </w:pPr>
            <w:r>
              <w:rPr>
                <w:sz w:val="20"/>
                <w:szCs w:val="20"/>
              </w:rPr>
              <w:t>MASS: 8 u</w:t>
            </w:r>
            <w:r w:rsidR="00F46245">
              <w:rPr>
                <w:sz w:val="20"/>
                <w:szCs w:val="20"/>
              </w:rPr>
              <w:t xml:space="preserve"> / week</w:t>
            </w:r>
          </w:p>
          <w:p w14:paraId="0FF68662" w14:textId="6A118654" w:rsidR="00F46245" w:rsidRDefault="005D31EF" w:rsidP="00C45847">
            <w:pPr>
              <w:spacing w:after="120" w:line="240" w:lineRule="auto"/>
              <w:rPr>
                <w:sz w:val="20"/>
                <w:szCs w:val="20"/>
              </w:rPr>
            </w:pPr>
            <w:r>
              <w:rPr>
                <w:sz w:val="20"/>
                <w:szCs w:val="20"/>
              </w:rPr>
              <w:t>VT: 32 u</w:t>
            </w:r>
            <w:r w:rsidR="00F46245">
              <w:rPr>
                <w:sz w:val="20"/>
                <w:szCs w:val="20"/>
              </w:rPr>
              <w:t xml:space="preserve"> / week</w:t>
            </w:r>
          </w:p>
          <w:p w14:paraId="2C99235D" w14:textId="28EA3C90" w:rsidR="00F46245" w:rsidRDefault="005D31EF" w:rsidP="00C45847">
            <w:pPr>
              <w:spacing w:after="120" w:line="240" w:lineRule="auto"/>
              <w:rPr>
                <w:sz w:val="20"/>
                <w:szCs w:val="20"/>
              </w:rPr>
            </w:pPr>
            <w:r>
              <w:rPr>
                <w:sz w:val="20"/>
                <w:szCs w:val="20"/>
              </w:rPr>
              <w:t>KR8: 11 u</w:t>
            </w:r>
            <w:r w:rsidR="00F46245">
              <w:rPr>
                <w:sz w:val="20"/>
                <w:szCs w:val="20"/>
              </w:rPr>
              <w:t xml:space="preserve"> / week</w:t>
            </w:r>
          </w:p>
        </w:tc>
        <w:tc>
          <w:tcPr>
            <w:tcW w:w="2301" w:type="dxa"/>
          </w:tcPr>
          <w:p w14:paraId="09EE64AE" w14:textId="1E215250" w:rsidR="004417B8" w:rsidRDefault="005759E4" w:rsidP="00C45847">
            <w:pPr>
              <w:spacing w:after="120" w:line="240" w:lineRule="auto"/>
              <w:rPr>
                <w:sz w:val="20"/>
                <w:szCs w:val="20"/>
              </w:rPr>
            </w:pPr>
            <w:r>
              <w:rPr>
                <w:sz w:val="20"/>
                <w:szCs w:val="20"/>
              </w:rPr>
              <w:t>continu</w:t>
            </w:r>
          </w:p>
        </w:tc>
      </w:tr>
      <w:tr w:rsidR="004417B8" w14:paraId="6A839E55" w14:textId="77777777" w:rsidTr="005D31EF">
        <w:tc>
          <w:tcPr>
            <w:tcW w:w="2301" w:type="dxa"/>
          </w:tcPr>
          <w:p w14:paraId="21D56149" w14:textId="4FEC7740" w:rsidR="004417B8" w:rsidRDefault="004417B8" w:rsidP="00C45847">
            <w:pPr>
              <w:spacing w:after="120" w:line="240" w:lineRule="auto"/>
              <w:rPr>
                <w:sz w:val="20"/>
                <w:szCs w:val="20"/>
              </w:rPr>
            </w:pPr>
            <w:r>
              <w:rPr>
                <w:sz w:val="20"/>
                <w:szCs w:val="20"/>
              </w:rPr>
              <w:t>Aanpak BIJ</w:t>
            </w:r>
          </w:p>
        </w:tc>
        <w:tc>
          <w:tcPr>
            <w:tcW w:w="2769" w:type="dxa"/>
          </w:tcPr>
          <w:p w14:paraId="1201E319" w14:textId="0735FFE8" w:rsidR="004417B8" w:rsidRDefault="00B02701" w:rsidP="00C45847">
            <w:pPr>
              <w:spacing w:after="120" w:line="240" w:lineRule="auto"/>
              <w:rPr>
                <w:sz w:val="20"/>
                <w:szCs w:val="20"/>
              </w:rPr>
            </w:pPr>
            <w:r>
              <w:rPr>
                <w:sz w:val="20"/>
                <w:szCs w:val="20"/>
              </w:rPr>
              <w:t xml:space="preserve">Voeren van regie over  </w:t>
            </w:r>
            <w:proofErr w:type="spellStart"/>
            <w:r>
              <w:rPr>
                <w:sz w:val="20"/>
                <w:szCs w:val="20"/>
              </w:rPr>
              <w:t>BIJ-zaken</w:t>
            </w:r>
            <w:proofErr w:type="spellEnd"/>
          </w:p>
        </w:tc>
        <w:tc>
          <w:tcPr>
            <w:tcW w:w="1833" w:type="dxa"/>
          </w:tcPr>
          <w:p w14:paraId="6D71E4AF" w14:textId="3598AE21" w:rsidR="004417B8" w:rsidRDefault="00F46245" w:rsidP="00C45847">
            <w:pPr>
              <w:spacing w:after="120" w:line="240" w:lineRule="auto"/>
              <w:rPr>
                <w:sz w:val="20"/>
                <w:szCs w:val="20"/>
              </w:rPr>
            </w:pPr>
            <w:r>
              <w:rPr>
                <w:sz w:val="20"/>
                <w:szCs w:val="20"/>
              </w:rPr>
              <w:t>20 zaken</w:t>
            </w:r>
          </w:p>
        </w:tc>
        <w:tc>
          <w:tcPr>
            <w:tcW w:w="2301" w:type="dxa"/>
          </w:tcPr>
          <w:p w14:paraId="455F0D07" w14:textId="7F5F98E2" w:rsidR="004417B8" w:rsidRDefault="005759E4" w:rsidP="00C45847">
            <w:pPr>
              <w:spacing w:after="120" w:line="240" w:lineRule="auto"/>
              <w:rPr>
                <w:sz w:val="20"/>
                <w:szCs w:val="20"/>
              </w:rPr>
            </w:pPr>
            <w:r>
              <w:rPr>
                <w:sz w:val="20"/>
                <w:szCs w:val="20"/>
              </w:rPr>
              <w:t>December 2018</w:t>
            </w:r>
          </w:p>
        </w:tc>
      </w:tr>
      <w:tr w:rsidR="004417B8" w14:paraId="6346D20A" w14:textId="77777777" w:rsidTr="005D31EF">
        <w:tc>
          <w:tcPr>
            <w:tcW w:w="2301" w:type="dxa"/>
          </w:tcPr>
          <w:p w14:paraId="565E0615" w14:textId="44E73DB9" w:rsidR="004417B8" w:rsidRDefault="00F46245" w:rsidP="00C45847">
            <w:pPr>
              <w:spacing w:after="120" w:line="240" w:lineRule="auto"/>
              <w:rPr>
                <w:sz w:val="20"/>
                <w:szCs w:val="20"/>
              </w:rPr>
            </w:pPr>
            <w:r>
              <w:rPr>
                <w:sz w:val="20"/>
                <w:szCs w:val="20"/>
              </w:rPr>
              <w:t>Project radicalisering</w:t>
            </w:r>
          </w:p>
        </w:tc>
        <w:tc>
          <w:tcPr>
            <w:tcW w:w="2769" w:type="dxa"/>
          </w:tcPr>
          <w:p w14:paraId="701C4059" w14:textId="37DA5782" w:rsidR="004417B8" w:rsidRDefault="00F46245" w:rsidP="00C45847">
            <w:pPr>
              <w:spacing w:after="120" w:line="240" w:lineRule="auto"/>
              <w:rPr>
                <w:sz w:val="20"/>
                <w:szCs w:val="20"/>
              </w:rPr>
            </w:pPr>
            <w:r>
              <w:rPr>
                <w:sz w:val="20"/>
                <w:szCs w:val="20"/>
              </w:rPr>
              <w:t>Door</w:t>
            </w:r>
            <w:r w:rsidR="0012390D">
              <w:rPr>
                <w:sz w:val="20"/>
                <w:szCs w:val="20"/>
              </w:rPr>
              <w:t xml:space="preserve"> </w:t>
            </w:r>
            <w:r>
              <w:rPr>
                <w:sz w:val="20"/>
                <w:szCs w:val="20"/>
              </w:rPr>
              <w:t xml:space="preserve">ontwikkelen van het netwerk radicalisering, zorgen voor trainingen. </w:t>
            </w:r>
          </w:p>
        </w:tc>
        <w:tc>
          <w:tcPr>
            <w:tcW w:w="1833" w:type="dxa"/>
          </w:tcPr>
          <w:p w14:paraId="06DD85AE" w14:textId="49F5578B" w:rsidR="004417B8" w:rsidRDefault="005759E4" w:rsidP="00C45847">
            <w:pPr>
              <w:spacing w:after="120" w:line="240" w:lineRule="auto"/>
              <w:rPr>
                <w:sz w:val="20"/>
                <w:szCs w:val="20"/>
              </w:rPr>
            </w:pPr>
            <w:r>
              <w:rPr>
                <w:sz w:val="20"/>
                <w:szCs w:val="20"/>
              </w:rPr>
              <w:t xml:space="preserve">Trainen van 100 </w:t>
            </w:r>
            <w:r w:rsidR="00F46245">
              <w:rPr>
                <w:sz w:val="20"/>
                <w:szCs w:val="20"/>
              </w:rPr>
              <w:t>professionals</w:t>
            </w:r>
          </w:p>
        </w:tc>
        <w:tc>
          <w:tcPr>
            <w:tcW w:w="2301" w:type="dxa"/>
          </w:tcPr>
          <w:p w14:paraId="7B5E1489" w14:textId="3BC63870" w:rsidR="004417B8" w:rsidRDefault="005759E4" w:rsidP="00C45847">
            <w:pPr>
              <w:spacing w:after="120" w:line="240" w:lineRule="auto"/>
              <w:rPr>
                <w:sz w:val="20"/>
                <w:szCs w:val="20"/>
              </w:rPr>
            </w:pPr>
            <w:r>
              <w:rPr>
                <w:sz w:val="20"/>
                <w:szCs w:val="20"/>
              </w:rPr>
              <w:t>Dec</w:t>
            </w:r>
            <w:r w:rsidR="004245A1">
              <w:rPr>
                <w:sz w:val="20"/>
                <w:szCs w:val="20"/>
              </w:rPr>
              <w:t>ember 2018</w:t>
            </w:r>
          </w:p>
        </w:tc>
      </w:tr>
      <w:tr w:rsidR="004417B8" w14:paraId="084DB1E5" w14:textId="77777777" w:rsidTr="005D31EF">
        <w:tc>
          <w:tcPr>
            <w:tcW w:w="2301" w:type="dxa"/>
          </w:tcPr>
          <w:p w14:paraId="2EF4B6A8" w14:textId="13DC9CF0" w:rsidR="004417B8" w:rsidRDefault="004417B8" w:rsidP="00C45847">
            <w:pPr>
              <w:spacing w:after="120" w:line="240" w:lineRule="auto"/>
              <w:rPr>
                <w:sz w:val="20"/>
                <w:szCs w:val="20"/>
              </w:rPr>
            </w:pPr>
            <w:r>
              <w:rPr>
                <w:sz w:val="20"/>
                <w:szCs w:val="20"/>
              </w:rPr>
              <w:t>Werken aan gegevensdeling</w:t>
            </w:r>
          </w:p>
        </w:tc>
        <w:tc>
          <w:tcPr>
            <w:tcW w:w="2769" w:type="dxa"/>
          </w:tcPr>
          <w:p w14:paraId="7D100985" w14:textId="253957D0" w:rsidR="004417B8" w:rsidRDefault="004417B8" w:rsidP="004417B8">
            <w:pPr>
              <w:spacing w:after="120" w:line="240" w:lineRule="auto"/>
              <w:rPr>
                <w:sz w:val="20"/>
                <w:szCs w:val="20"/>
              </w:rPr>
            </w:pPr>
            <w:r>
              <w:rPr>
                <w:sz w:val="20"/>
                <w:szCs w:val="20"/>
              </w:rPr>
              <w:t>Realiseren van een convenant en privacy protocol</w:t>
            </w:r>
          </w:p>
        </w:tc>
        <w:tc>
          <w:tcPr>
            <w:tcW w:w="1833" w:type="dxa"/>
          </w:tcPr>
          <w:p w14:paraId="6B4A1FE3" w14:textId="77777777" w:rsidR="004417B8" w:rsidRDefault="004417B8" w:rsidP="00C45847">
            <w:pPr>
              <w:spacing w:after="120" w:line="240" w:lineRule="auto"/>
              <w:rPr>
                <w:sz w:val="20"/>
                <w:szCs w:val="20"/>
              </w:rPr>
            </w:pPr>
          </w:p>
        </w:tc>
        <w:tc>
          <w:tcPr>
            <w:tcW w:w="2301" w:type="dxa"/>
          </w:tcPr>
          <w:p w14:paraId="15B628F3" w14:textId="5918D6B6" w:rsidR="004417B8" w:rsidRDefault="00F46245" w:rsidP="00C45847">
            <w:pPr>
              <w:spacing w:after="120" w:line="240" w:lineRule="auto"/>
              <w:rPr>
                <w:sz w:val="20"/>
                <w:szCs w:val="20"/>
              </w:rPr>
            </w:pPr>
            <w:r>
              <w:rPr>
                <w:sz w:val="20"/>
                <w:szCs w:val="20"/>
              </w:rPr>
              <w:t>April 2018</w:t>
            </w:r>
          </w:p>
        </w:tc>
      </w:tr>
      <w:tr w:rsidR="004417B8" w14:paraId="0DDC7B87" w14:textId="77777777" w:rsidTr="005D31EF">
        <w:tc>
          <w:tcPr>
            <w:tcW w:w="2301" w:type="dxa"/>
          </w:tcPr>
          <w:p w14:paraId="27AE59D6" w14:textId="4DA56878" w:rsidR="004417B8" w:rsidRDefault="004417B8" w:rsidP="00C45847">
            <w:pPr>
              <w:spacing w:after="120" w:line="240" w:lineRule="auto"/>
              <w:rPr>
                <w:sz w:val="20"/>
                <w:szCs w:val="20"/>
              </w:rPr>
            </w:pPr>
          </w:p>
        </w:tc>
        <w:tc>
          <w:tcPr>
            <w:tcW w:w="2769" w:type="dxa"/>
          </w:tcPr>
          <w:p w14:paraId="66B930B2" w14:textId="3E6AE0A8" w:rsidR="004417B8" w:rsidRDefault="004417B8" w:rsidP="00C45847">
            <w:pPr>
              <w:spacing w:after="120" w:line="240" w:lineRule="auto"/>
              <w:rPr>
                <w:sz w:val="20"/>
                <w:szCs w:val="20"/>
              </w:rPr>
            </w:pPr>
            <w:r>
              <w:rPr>
                <w:sz w:val="20"/>
                <w:szCs w:val="20"/>
              </w:rPr>
              <w:t>Realiseren van een Protocol datalek</w:t>
            </w:r>
          </w:p>
        </w:tc>
        <w:tc>
          <w:tcPr>
            <w:tcW w:w="1833" w:type="dxa"/>
          </w:tcPr>
          <w:p w14:paraId="698E0137" w14:textId="77777777" w:rsidR="004417B8" w:rsidRDefault="004417B8" w:rsidP="00C45847">
            <w:pPr>
              <w:spacing w:after="120" w:line="240" w:lineRule="auto"/>
              <w:rPr>
                <w:sz w:val="20"/>
                <w:szCs w:val="20"/>
              </w:rPr>
            </w:pPr>
          </w:p>
        </w:tc>
        <w:tc>
          <w:tcPr>
            <w:tcW w:w="2301" w:type="dxa"/>
          </w:tcPr>
          <w:p w14:paraId="07D1920C" w14:textId="28F1EC7E" w:rsidR="004417B8" w:rsidRDefault="00F46245" w:rsidP="00C45847">
            <w:pPr>
              <w:spacing w:after="120" w:line="240" w:lineRule="auto"/>
              <w:rPr>
                <w:sz w:val="20"/>
                <w:szCs w:val="20"/>
              </w:rPr>
            </w:pPr>
            <w:r>
              <w:rPr>
                <w:sz w:val="20"/>
                <w:szCs w:val="20"/>
              </w:rPr>
              <w:t>Mei 2018</w:t>
            </w:r>
          </w:p>
        </w:tc>
      </w:tr>
      <w:tr w:rsidR="004417B8" w14:paraId="28E8CCFE" w14:textId="77777777" w:rsidTr="005D31EF">
        <w:tc>
          <w:tcPr>
            <w:tcW w:w="2301" w:type="dxa"/>
          </w:tcPr>
          <w:p w14:paraId="5E7BA11D" w14:textId="77777777" w:rsidR="004417B8" w:rsidRDefault="004417B8" w:rsidP="00C45847">
            <w:pPr>
              <w:spacing w:after="120" w:line="240" w:lineRule="auto"/>
              <w:rPr>
                <w:sz w:val="20"/>
                <w:szCs w:val="20"/>
              </w:rPr>
            </w:pPr>
          </w:p>
        </w:tc>
        <w:tc>
          <w:tcPr>
            <w:tcW w:w="2769" w:type="dxa"/>
          </w:tcPr>
          <w:p w14:paraId="47E0C2C8" w14:textId="23EA84AE" w:rsidR="004417B8" w:rsidRDefault="004417B8" w:rsidP="00C45847">
            <w:pPr>
              <w:spacing w:after="120" w:line="240" w:lineRule="auto"/>
              <w:rPr>
                <w:sz w:val="20"/>
                <w:szCs w:val="20"/>
              </w:rPr>
            </w:pPr>
            <w:r>
              <w:rPr>
                <w:sz w:val="20"/>
                <w:szCs w:val="20"/>
              </w:rPr>
              <w:t>Ontwikkelen van een Compliance check</w:t>
            </w:r>
          </w:p>
        </w:tc>
        <w:tc>
          <w:tcPr>
            <w:tcW w:w="1833" w:type="dxa"/>
          </w:tcPr>
          <w:p w14:paraId="149D460E" w14:textId="77777777" w:rsidR="004417B8" w:rsidRDefault="004417B8" w:rsidP="00C45847">
            <w:pPr>
              <w:spacing w:after="120" w:line="240" w:lineRule="auto"/>
              <w:rPr>
                <w:sz w:val="20"/>
                <w:szCs w:val="20"/>
              </w:rPr>
            </w:pPr>
          </w:p>
        </w:tc>
        <w:tc>
          <w:tcPr>
            <w:tcW w:w="2301" w:type="dxa"/>
          </w:tcPr>
          <w:p w14:paraId="709540EE" w14:textId="6B289558" w:rsidR="004417B8" w:rsidRDefault="004245A1" w:rsidP="00C45847">
            <w:pPr>
              <w:spacing w:after="120" w:line="240" w:lineRule="auto"/>
              <w:rPr>
                <w:sz w:val="20"/>
                <w:szCs w:val="20"/>
              </w:rPr>
            </w:pPr>
            <w:r>
              <w:rPr>
                <w:sz w:val="20"/>
                <w:szCs w:val="20"/>
              </w:rPr>
              <w:t>Juli 2018</w:t>
            </w:r>
          </w:p>
        </w:tc>
      </w:tr>
      <w:tr w:rsidR="004417B8" w14:paraId="57901292" w14:textId="77777777" w:rsidTr="005D31EF">
        <w:tc>
          <w:tcPr>
            <w:tcW w:w="2301" w:type="dxa"/>
          </w:tcPr>
          <w:p w14:paraId="714AEAEE" w14:textId="4A1F0C0B" w:rsidR="004417B8" w:rsidRDefault="004417B8" w:rsidP="00920872">
            <w:pPr>
              <w:spacing w:after="120" w:line="240" w:lineRule="auto"/>
              <w:rPr>
                <w:sz w:val="20"/>
                <w:szCs w:val="20"/>
              </w:rPr>
            </w:pPr>
          </w:p>
        </w:tc>
        <w:tc>
          <w:tcPr>
            <w:tcW w:w="2769" w:type="dxa"/>
          </w:tcPr>
          <w:p w14:paraId="62239DC0" w14:textId="2396AB91" w:rsidR="004417B8" w:rsidRDefault="004417B8" w:rsidP="00920872">
            <w:pPr>
              <w:spacing w:after="120" w:line="240" w:lineRule="auto"/>
              <w:rPr>
                <w:sz w:val="20"/>
                <w:szCs w:val="20"/>
              </w:rPr>
            </w:pPr>
            <w:r>
              <w:rPr>
                <w:sz w:val="20"/>
                <w:szCs w:val="20"/>
              </w:rPr>
              <w:t>Zorgen voor trainingen</w:t>
            </w:r>
          </w:p>
        </w:tc>
        <w:tc>
          <w:tcPr>
            <w:tcW w:w="1833" w:type="dxa"/>
          </w:tcPr>
          <w:p w14:paraId="0B67C12B" w14:textId="77777777" w:rsidR="004417B8" w:rsidRDefault="004417B8" w:rsidP="00920872">
            <w:pPr>
              <w:spacing w:after="120" w:line="240" w:lineRule="auto"/>
              <w:rPr>
                <w:sz w:val="20"/>
                <w:szCs w:val="20"/>
              </w:rPr>
            </w:pPr>
          </w:p>
        </w:tc>
        <w:tc>
          <w:tcPr>
            <w:tcW w:w="2301" w:type="dxa"/>
          </w:tcPr>
          <w:p w14:paraId="266A501C" w14:textId="0EF64137" w:rsidR="004417B8" w:rsidRDefault="004245A1" w:rsidP="00920872">
            <w:pPr>
              <w:spacing w:after="120" w:line="240" w:lineRule="auto"/>
              <w:rPr>
                <w:sz w:val="20"/>
                <w:szCs w:val="20"/>
              </w:rPr>
            </w:pPr>
            <w:r>
              <w:rPr>
                <w:sz w:val="20"/>
                <w:szCs w:val="20"/>
              </w:rPr>
              <w:t>continu</w:t>
            </w:r>
          </w:p>
        </w:tc>
      </w:tr>
      <w:tr w:rsidR="004417B8" w14:paraId="6D0D2991" w14:textId="77777777" w:rsidTr="005D31EF">
        <w:tc>
          <w:tcPr>
            <w:tcW w:w="2301" w:type="dxa"/>
          </w:tcPr>
          <w:p w14:paraId="4D25410E" w14:textId="532EAD51" w:rsidR="004417B8" w:rsidRDefault="004417B8" w:rsidP="00920872">
            <w:pPr>
              <w:spacing w:after="120" w:line="240" w:lineRule="auto"/>
              <w:rPr>
                <w:sz w:val="20"/>
                <w:szCs w:val="20"/>
              </w:rPr>
            </w:pPr>
            <w:r>
              <w:rPr>
                <w:sz w:val="20"/>
                <w:szCs w:val="20"/>
              </w:rPr>
              <w:t>Werken aan positionering</w:t>
            </w:r>
          </w:p>
        </w:tc>
        <w:tc>
          <w:tcPr>
            <w:tcW w:w="2769" w:type="dxa"/>
          </w:tcPr>
          <w:p w14:paraId="293DA402" w14:textId="40BBDC7C" w:rsidR="004417B8" w:rsidRDefault="004417B8" w:rsidP="00920872">
            <w:pPr>
              <w:spacing w:after="120" w:line="240" w:lineRule="auto"/>
              <w:rPr>
                <w:sz w:val="20"/>
                <w:szCs w:val="20"/>
              </w:rPr>
            </w:pPr>
            <w:r>
              <w:rPr>
                <w:sz w:val="20"/>
                <w:szCs w:val="20"/>
              </w:rPr>
              <w:t>Ronde langs bestuurders</w:t>
            </w:r>
          </w:p>
        </w:tc>
        <w:tc>
          <w:tcPr>
            <w:tcW w:w="1833" w:type="dxa"/>
          </w:tcPr>
          <w:p w14:paraId="3CC9A61C" w14:textId="77777777" w:rsidR="004417B8" w:rsidRDefault="004417B8" w:rsidP="00920872">
            <w:pPr>
              <w:spacing w:after="120" w:line="240" w:lineRule="auto"/>
              <w:rPr>
                <w:sz w:val="20"/>
                <w:szCs w:val="20"/>
              </w:rPr>
            </w:pPr>
          </w:p>
        </w:tc>
        <w:tc>
          <w:tcPr>
            <w:tcW w:w="2301" w:type="dxa"/>
          </w:tcPr>
          <w:p w14:paraId="1EF661A8" w14:textId="49C21606" w:rsidR="004417B8" w:rsidRDefault="004245A1" w:rsidP="00920872">
            <w:pPr>
              <w:spacing w:after="120" w:line="240" w:lineRule="auto"/>
              <w:rPr>
                <w:sz w:val="20"/>
                <w:szCs w:val="20"/>
              </w:rPr>
            </w:pPr>
            <w:r>
              <w:rPr>
                <w:sz w:val="20"/>
                <w:szCs w:val="20"/>
              </w:rPr>
              <w:t>2</w:t>
            </w:r>
            <w:r w:rsidRPr="004245A1">
              <w:rPr>
                <w:sz w:val="20"/>
                <w:szCs w:val="20"/>
                <w:vertAlign w:val="superscript"/>
              </w:rPr>
              <w:t>e</w:t>
            </w:r>
            <w:r>
              <w:rPr>
                <w:sz w:val="20"/>
                <w:szCs w:val="20"/>
              </w:rPr>
              <w:t xml:space="preserve"> kwartaal 2018</w:t>
            </w:r>
          </w:p>
        </w:tc>
      </w:tr>
      <w:tr w:rsidR="004417B8" w14:paraId="10242280" w14:textId="77777777" w:rsidTr="005D31EF">
        <w:tc>
          <w:tcPr>
            <w:tcW w:w="2301" w:type="dxa"/>
          </w:tcPr>
          <w:p w14:paraId="2D00A114" w14:textId="77777777" w:rsidR="004417B8" w:rsidRDefault="004417B8" w:rsidP="00920872">
            <w:pPr>
              <w:spacing w:after="120" w:line="240" w:lineRule="auto"/>
              <w:rPr>
                <w:sz w:val="20"/>
                <w:szCs w:val="20"/>
              </w:rPr>
            </w:pPr>
          </w:p>
        </w:tc>
        <w:tc>
          <w:tcPr>
            <w:tcW w:w="2769" w:type="dxa"/>
          </w:tcPr>
          <w:p w14:paraId="0C304A6B" w14:textId="7EA33461" w:rsidR="004417B8" w:rsidRDefault="00B02701" w:rsidP="00920872">
            <w:pPr>
              <w:spacing w:after="120" w:line="240" w:lineRule="auto"/>
              <w:rPr>
                <w:sz w:val="20"/>
                <w:szCs w:val="20"/>
              </w:rPr>
            </w:pPr>
            <w:r>
              <w:rPr>
                <w:sz w:val="20"/>
                <w:szCs w:val="20"/>
              </w:rPr>
              <w:t>Realiseren van een nieuwe governance</w:t>
            </w:r>
          </w:p>
        </w:tc>
        <w:tc>
          <w:tcPr>
            <w:tcW w:w="1833" w:type="dxa"/>
          </w:tcPr>
          <w:p w14:paraId="33A3AFA8" w14:textId="77777777" w:rsidR="004417B8" w:rsidRDefault="004417B8" w:rsidP="00920872">
            <w:pPr>
              <w:spacing w:after="120" w:line="240" w:lineRule="auto"/>
              <w:rPr>
                <w:sz w:val="20"/>
                <w:szCs w:val="20"/>
              </w:rPr>
            </w:pPr>
          </w:p>
        </w:tc>
        <w:tc>
          <w:tcPr>
            <w:tcW w:w="2301" w:type="dxa"/>
          </w:tcPr>
          <w:p w14:paraId="29969022" w14:textId="492C7645" w:rsidR="004417B8" w:rsidRDefault="004245A1" w:rsidP="00920872">
            <w:pPr>
              <w:spacing w:after="120" w:line="240" w:lineRule="auto"/>
              <w:rPr>
                <w:sz w:val="20"/>
                <w:szCs w:val="20"/>
              </w:rPr>
            </w:pPr>
            <w:r>
              <w:rPr>
                <w:sz w:val="20"/>
                <w:szCs w:val="20"/>
              </w:rPr>
              <w:t>April 2018</w:t>
            </w:r>
          </w:p>
        </w:tc>
      </w:tr>
      <w:tr w:rsidR="004417B8" w14:paraId="3CDEAAF2" w14:textId="77777777" w:rsidTr="005D31EF">
        <w:tc>
          <w:tcPr>
            <w:tcW w:w="2301" w:type="dxa"/>
          </w:tcPr>
          <w:p w14:paraId="554C3A2D" w14:textId="561D5DDB" w:rsidR="004417B8" w:rsidRDefault="00B02701" w:rsidP="00920872">
            <w:pPr>
              <w:spacing w:after="120" w:line="240" w:lineRule="auto"/>
              <w:rPr>
                <w:sz w:val="20"/>
                <w:szCs w:val="20"/>
              </w:rPr>
            </w:pPr>
            <w:r>
              <w:rPr>
                <w:sz w:val="20"/>
                <w:szCs w:val="20"/>
              </w:rPr>
              <w:t>Personeel</w:t>
            </w:r>
          </w:p>
        </w:tc>
        <w:tc>
          <w:tcPr>
            <w:tcW w:w="2769" w:type="dxa"/>
          </w:tcPr>
          <w:p w14:paraId="6860BA98" w14:textId="6FD7BE35" w:rsidR="004417B8" w:rsidRDefault="00B02701" w:rsidP="00920872">
            <w:pPr>
              <w:spacing w:after="120" w:line="240" w:lineRule="auto"/>
              <w:rPr>
                <w:sz w:val="20"/>
                <w:szCs w:val="20"/>
              </w:rPr>
            </w:pPr>
            <w:r>
              <w:rPr>
                <w:sz w:val="20"/>
                <w:szCs w:val="20"/>
              </w:rPr>
              <w:t>Zorgen voor dienstbetrekking van personeel</w:t>
            </w:r>
          </w:p>
        </w:tc>
        <w:tc>
          <w:tcPr>
            <w:tcW w:w="1833" w:type="dxa"/>
          </w:tcPr>
          <w:p w14:paraId="61E348C9" w14:textId="77777777" w:rsidR="004417B8" w:rsidRDefault="004417B8" w:rsidP="00920872">
            <w:pPr>
              <w:spacing w:after="120" w:line="240" w:lineRule="auto"/>
              <w:rPr>
                <w:sz w:val="20"/>
                <w:szCs w:val="20"/>
              </w:rPr>
            </w:pPr>
          </w:p>
        </w:tc>
        <w:tc>
          <w:tcPr>
            <w:tcW w:w="2301" w:type="dxa"/>
          </w:tcPr>
          <w:p w14:paraId="676C329D" w14:textId="35D3BFAB" w:rsidR="004417B8" w:rsidRDefault="004245A1" w:rsidP="00920872">
            <w:pPr>
              <w:spacing w:after="120" w:line="240" w:lineRule="auto"/>
              <w:rPr>
                <w:sz w:val="20"/>
                <w:szCs w:val="20"/>
              </w:rPr>
            </w:pPr>
            <w:r>
              <w:rPr>
                <w:sz w:val="20"/>
                <w:szCs w:val="20"/>
              </w:rPr>
              <w:t>Juni 2018</w:t>
            </w:r>
          </w:p>
        </w:tc>
      </w:tr>
      <w:tr w:rsidR="004417B8" w14:paraId="7496E255" w14:textId="77777777" w:rsidTr="005D31EF">
        <w:tc>
          <w:tcPr>
            <w:tcW w:w="2301" w:type="dxa"/>
          </w:tcPr>
          <w:p w14:paraId="4550CDB2" w14:textId="58E1F95B" w:rsidR="004417B8" w:rsidRDefault="004417B8" w:rsidP="00920872">
            <w:pPr>
              <w:spacing w:after="120" w:line="240" w:lineRule="auto"/>
              <w:rPr>
                <w:sz w:val="20"/>
                <w:szCs w:val="20"/>
              </w:rPr>
            </w:pPr>
          </w:p>
        </w:tc>
        <w:tc>
          <w:tcPr>
            <w:tcW w:w="2769" w:type="dxa"/>
          </w:tcPr>
          <w:p w14:paraId="47EFFFF4" w14:textId="64A0727A" w:rsidR="004417B8" w:rsidRDefault="00B02701" w:rsidP="00920872">
            <w:pPr>
              <w:spacing w:after="120" w:line="240" w:lineRule="auto"/>
              <w:rPr>
                <w:sz w:val="20"/>
                <w:szCs w:val="20"/>
              </w:rPr>
            </w:pPr>
            <w:r>
              <w:rPr>
                <w:sz w:val="20"/>
                <w:szCs w:val="20"/>
              </w:rPr>
              <w:t>Scheiden verwevenheid functie stadsmarinier / procesregisseur</w:t>
            </w:r>
          </w:p>
        </w:tc>
        <w:tc>
          <w:tcPr>
            <w:tcW w:w="1833" w:type="dxa"/>
          </w:tcPr>
          <w:p w14:paraId="5D3B08C2" w14:textId="77777777" w:rsidR="004417B8" w:rsidRDefault="004417B8" w:rsidP="00920872">
            <w:pPr>
              <w:spacing w:after="120" w:line="240" w:lineRule="auto"/>
              <w:rPr>
                <w:sz w:val="20"/>
                <w:szCs w:val="20"/>
              </w:rPr>
            </w:pPr>
          </w:p>
        </w:tc>
        <w:tc>
          <w:tcPr>
            <w:tcW w:w="2301" w:type="dxa"/>
          </w:tcPr>
          <w:p w14:paraId="3CCBE181" w14:textId="176CD4A5" w:rsidR="004417B8" w:rsidRDefault="004245A1" w:rsidP="00920872">
            <w:pPr>
              <w:spacing w:after="120" w:line="240" w:lineRule="auto"/>
              <w:rPr>
                <w:sz w:val="20"/>
                <w:szCs w:val="20"/>
              </w:rPr>
            </w:pPr>
            <w:r>
              <w:rPr>
                <w:sz w:val="20"/>
                <w:szCs w:val="20"/>
              </w:rPr>
              <w:t>Juni 2018</w:t>
            </w:r>
          </w:p>
        </w:tc>
      </w:tr>
      <w:tr w:rsidR="004417B8" w14:paraId="33E1FF8B" w14:textId="77777777" w:rsidTr="005D31EF">
        <w:tc>
          <w:tcPr>
            <w:tcW w:w="2301" w:type="dxa"/>
          </w:tcPr>
          <w:p w14:paraId="5B75DA3A" w14:textId="7A549D51" w:rsidR="004417B8" w:rsidRDefault="00B02701" w:rsidP="00920872">
            <w:pPr>
              <w:spacing w:after="120" w:line="240" w:lineRule="auto"/>
              <w:rPr>
                <w:sz w:val="20"/>
                <w:szCs w:val="20"/>
              </w:rPr>
            </w:pPr>
            <w:r>
              <w:rPr>
                <w:sz w:val="20"/>
                <w:szCs w:val="20"/>
              </w:rPr>
              <w:t>ICT</w:t>
            </w:r>
          </w:p>
        </w:tc>
        <w:tc>
          <w:tcPr>
            <w:tcW w:w="2769" w:type="dxa"/>
          </w:tcPr>
          <w:p w14:paraId="5341CCF1" w14:textId="1B2414F4" w:rsidR="004417B8" w:rsidRDefault="00B02701" w:rsidP="00920872">
            <w:pPr>
              <w:spacing w:after="120" w:line="240" w:lineRule="auto"/>
              <w:rPr>
                <w:sz w:val="20"/>
                <w:szCs w:val="20"/>
              </w:rPr>
            </w:pPr>
            <w:r>
              <w:rPr>
                <w:sz w:val="20"/>
                <w:szCs w:val="20"/>
              </w:rPr>
              <w:t>Continueren van frequente afstemming managers en ICT-beheerders</w:t>
            </w:r>
          </w:p>
        </w:tc>
        <w:tc>
          <w:tcPr>
            <w:tcW w:w="1833" w:type="dxa"/>
          </w:tcPr>
          <w:p w14:paraId="1E602CA5" w14:textId="77777777" w:rsidR="004417B8" w:rsidRDefault="004417B8" w:rsidP="00920872">
            <w:pPr>
              <w:spacing w:after="120" w:line="240" w:lineRule="auto"/>
              <w:rPr>
                <w:sz w:val="20"/>
                <w:szCs w:val="20"/>
              </w:rPr>
            </w:pPr>
          </w:p>
        </w:tc>
        <w:tc>
          <w:tcPr>
            <w:tcW w:w="2301" w:type="dxa"/>
          </w:tcPr>
          <w:p w14:paraId="6A9D696A" w14:textId="45268965" w:rsidR="004417B8" w:rsidRDefault="004245A1" w:rsidP="00920872">
            <w:pPr>
              <w:spacing w:after="120" w:line="240" w:lineRule="auto"/>
              <w:rPr>
                <w:sz w:val="20"/>
                <w:szCs w:val="20"/>
              </w:rPr>
            </w:pPr>
            <w:r>
              <w:rPr>
                <w:sz w:val="20"/>
                <w:szCs w:val="20"/>
              </w:rPr>
              <w:t>continu</w:t>
            </w:r>
          </w:p>
        </w:tc>
      </w:tr>
    </w:tbl>
    <w:p w14:paraId="0276D607" w14:textId="77777777" w:rsidR="004417B8" w:rsidRDefault="004417B8" w:rsidP="00C45847">
      <w:pPr>
        <w:spacing w:after="120" w:line="240" w:lineRule="auto"/>
        <w:rPr>
          <w:sz w:val="20"/>
          <w:szCs w:val="20"/>
        </w:rPr>
      </w:pPr>
    </w:p>
    <w:p w14:paraId="4E513D91" w14:textId="77777777" w:rsidR="004417B8" w:rsidRPr="00C45847" w:rsidRDefault="004417B8" w:rsidP="00C45847">
      <w:pPr>
        <w:spacing w:after="120" w:line="240" w:lineRule="auto"/>
        <w:rPr>
          <w:sz w:val="20"/>
          <w:szCs w:val="20"/>
        </w:rPr>
      </w:pPr>
    </w:p>
    <w:sectPr w:rsidR="004417B8" w:rsidRPr="00C45847" w:rsidSect="005B73CF">
      <w:headerReference w:type="even" r:id="rId9"/>
      <w:headerReference w:type="default" r:id="rId10"/>
      <w:footerReference w:type="default" r:id="rId11"/>
      <w:headerReference w:type="first" r:id="rId12"/>
      <w:footerReference w:type="first" r:id="rId13"/>
      <w:pgSz w:w="11900" w:h="16840"/>
      <w:pgMar w:top="1871" w:right="1418" w:bottom="1588" w:left="1418" w:header="1247" w:footer="459" w:gutter="0"/>
      <w:cols w:space="708"/>
      <w:titlePg/>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3AEE4" w15:done="0"/>
  <w15:commentEx w15:paraId="5EF73669" w15:done="0"/>
  <w15:commentEx w15:paraId="460BCC46" w15:done="0"/>
  <w15:commentEx w15:paraId="66138390" w15:done="0"/>
  <w15:commentEx w15:paraId="7D9E25BF" w15:done="0"/>
  <w15:commentEx w15:paraId="5EBDE0D7" w15:done="0"/>
  <w15:commentEx w15:paraId="502B3BED" w15:done="0"/>
  <w15:commentEx w15:paraId="7F304C45" w15:done="0"/>
  <w15:commentEx w15:paraId="6B390018" w15:done="0"/>
  <w15:commentEx w15:paraId="3EB651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A7306" w14:textId="77777777" w:rsidR="0049371E" w:rsidRDefault="0049371E" w:rsidP="00441AD8">
      <w:pPr>
        <w:spacing w:after="0" w:line="240" w:lineRule="auto"/>
      </w:pPr>
      <w:r>
        <w:separator/>
      </w:r>
    </w:p>
  </w:endnote>
  <w:endnote w:type="continuationSeparator" w:id="0">
    <w:p w14:paraId="46142989" w14:textId="77777777" w:rsidR="0049371E" w:rsidRDefault="0049371E" w:rsidP="0044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55">
    <w:altName w:val="Arial"/>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5550"/>
      <w:docPartObj>
        <w:docPartGallery w:val="Page Numbers (Bottom of Page)"/>
        <w:docPartUnique/>
      </w:docPartObj>
    </w:sdtPr>
    <w:sdtEndPr/>
    <w:sdtContent>
      <w:p w14:paraId="61CBD3DC" w14:textId="79459B44" w:rsidR="0012390D" w:rsidRDefault="0012390D">
        <w:pPr>
          <w:pStyle w:val="Voettekst"/>
          <w:jc w:val="right"/>
        </w:pPr>
        <w:r>
          <w:fldChar w:fldCharType="begin"/>
        </w:r>
        <w:r>
          <w:instrText>PAGE   \* MERGEFORMAT</w:instrText>
        </w:r>
        <w:r>
          <w:fldChar w:fldCharType="separate"/>
        </w:r>
        <w:r w:rsidR="0022762E">
          <w:rPr>
            <w:noProof/>
          </w:rPr>
          <w:t>5</w:t>
        </w:r>
        <w:r>
          <w:fldChar w:fldCharType="end"/>
        </w:r>
      </w:p>
    </w:sdtContent>
  </w:sdt>
  <w:p w14:paraId="50F6758F" w14:textId="77777777" w:rsidR="0012390D" w:rsidRDefault="001239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FA40" w14:textId="6794E7B9" w:rsidR="008F6DBA" w:rsidRDefault="008F6DBA">
    <w:pPr>
      <w:pStyle w:val="Voettekst"/>
    </w:pPr>
    <w:r>
      <w:rPr>
        <w:noProof/>
        <w:lang w:eastAsia="nl-NL"/>
      </w:rPr>
      <w:drawing>
        <wp:anchor distT="0" distB="0" distL="114300" distR="114300" simplePos="0" relativeHeight="251658240" behindDoc="0" locked="0" layoutInCell="1" allowOverlap="1" wp14:anchorId="4C29862A" wp14:editId="74016721">
          <wp:simplePos x="0" y="0"/>
          <wp:positionH relativeFrom="margin">
            <wp:posOffset>1088390</wp:posOffset>
          </wp:positionH>
          <wp:positionV relativeFrom="paragraph">
            <wp:posOffset>-40094</wp:posOffset>
          </wp:positionV>
          <wp:extent cx="4262400" cy="2592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D orgineel-07.jpg"/>
                  <pic:cNvPicPr/>
                </pic:nvPicPr>
                <pic:blipFill>
                  <a:blip r:embed="rId1">
                    <a:extLst>
                      <a:ext uri="{28A0092B-C50C-407E-A947-70E740481C1C}">
                        <a14:useLocalDpi xmlns:a14="http://schemas.microsoft.com/office/drawing/2010/main" val="0"/>
                      </a:ext>
                    </a:extLst>
                  </a:blip>
                  <a:stretch>
                    <a:fillRect/>
                  </a:stretch>
                </pic:blipFill>
                <pic:spPr>
                  <a:xfrm>
                    <a:off x="0" y="0"/>
                    <a:ext cx="4262400" cy="25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F58B" w14:textId="77777777" w:rsidR="0049371E" w:rsidRDefault="0049371E" w:rsidP="00441AD8">
      <w:pPr>
        <w:spacing w:after="0" w:line="240" w:lineRule="auto"/>
      </w:pPr>
      <w:r>
        <w:separator/>
      </w:r>
    </w:p>
  </w:footnote>
  <w:footnote w:type="continuationSeparator" w:id="0">
    <w:p w14:paraId="3E9BA10F" w14:textId="77777777" w:rsidR="0049371E" w:rsidRDefault="0049371E" w:rsidP="00441AD8">
      <w:pPr>
        <w:spacing w:after="0" w:line="240" w:lineRule="auto"/>
      </w:pPr>
      <w:r>
        <w:continuationSeparator/>
      </w:r>
    </w:p>
  </w:footnote>
  <w:footnote w:id="1">
    <w:p w14:paraId="2A65BF3C" w14:textId="3531628D" w:rsidR="0012390D" w:rsidRDefault="0012390D">
      <w:pPr>
        <w:pStyle w:val="Voetnoottekst"/>
      </w:pPr>
      <w:r>
        <w:rPr>
          <w:rStyle w:val="Voetnootmarkering"/>
        </w:rPr>
        <w:footnoteRef/>
      </w:r>
      <w:r>
        <w:t xml:space="preserve"> Zie ook de bijlage ‘</w:t>
      </w:r>
      <w:r w:rsidRPr="0012390D">
        <w:rPr>
          <w:smallCaps/>
        </w:rPr>
        <w:t>activiteiten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FF10" w14:textId="4EDCB23C" w:rsidR="004245A1" w:rsidRDefault="004245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0B36" w14:textId="03AE91D3" w:rsidR="008F6DBA" w:rsidRDefault="008F6DBA" w:rsidP="00494E24">
    <w:pPr>
      <w:pStyle w:val="Koptekst"/>
      <w:jc w:val="right"/>
    </w:pPr>
    <w:r>
      <w:rPr>
        <w:noProof/>
        <w:lang w:eastAsia="nl-NL"/>
      </w:rPr>
      <w:drawing>
        <wp:anchor distT="0" distB="0" distL="114300" distR="114300" simplePos="0" relativeHeight="251659264" behindDoc="0" locked="0" layoutInCell="1" allowOverlap="1" wp14:anchorId="202A9DC3" wp14:editId="718C0799">
          <wp:simplePos x="0" y="0"/>
          <wp:positionH relativeFrom="margin">
            <wp:align>center</wp:align>
          </wp:positionH>
          <wp:positionV relativeFrom="paragraph">
            <wp:posOffset>-374650</wp:posOffset>
          </wp:positionV>
          <wp:extent cx="411480" cy="323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dD orgineel-01.jpg"/>
                  <pic:cNvPicPr/>
                </pic:nvPicPr>
                <pic:blipFill>
                  <a:blip r:embed="rId1">
                    <a:extLst>
                      <a:ext uri="{28A0092B-C50C-407E-A947-70E740481C1C}">
                        <a14:useLocalDpi xmlns:a14="http://schemas.microsoft.com/office/drawing/2010/main" val="0"/>
                      </a:ext>
                    </a:extLst>
                  </a:blip>
                  <a:stretch>
                    <a:fillRect/>
                  </a:stretch>
                </pic:blipFill>
                <pic:spPr>
                  <a:xfrm>
                    <a:off x="0" y="0"/>
                    <a:ext cx="411480" cy="323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BC23" w14:textId="17BD290E" w:rsidR="008F6DBA" w:rsidRDefault="008F6DBA" w:rsidP="00441AD8">
    <w:pPr>
      <w:pStyle w:val="Koptekst"/>
      <w:jc w:val="center"/>
    </w:pPr>
    <w:r>
      <w:rPr>
        <w:noProof/>
        <w:lang w:eastAsia="nl-NL"/>
      </w:rPr>
      <w:drawing>
        <wp:inline distT="0" distB="0" distL="0" distR="0" wp14:anchorId="10B66831" wp14:editId="2763F378">
          <wp:extent cx="2808000" cy="61043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D orgineel-01.jpg"/>
                  <pic:cNvPicPr/>
                </pic:nvPicPr>
                <pic:blipFill rotWithShape="1">
                  <a:blip r:embed="rId1">
                    <a:extLst>
                      <a:ext uri="{28A0092B-C50C-407E-A947-70E740481C1C}">
                        <a14:useLocalDpi xmlns:a14="http://schemas.microsoft.com/office/drawing/2010/main" val="0"/>
                      </a:ext>
                    </a:extLst>
                  </a:blip>
                  <a:srcRect t="128" b="128"/>
                  <a:stretch/>
                </pic:blipFill>
                <pic:spPr>
                  <a:xfrm>
                    <a:off x="0" y="0"/>
                    <a:ext cx="2808000" cy="610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B64"/>
    <w:multiLevelType w:val="hybridMultilevel"/>
    <w:tmpl w:val="F1AC0E8E"/>
    <w:lvl w:ilvl="0" w:tplc="DB609FA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2C361C"/>
    <w:multiLevelType w:val="hybridMultilevel"/>
    <w:tmpl w:val="8084C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385017"/>
    <w:multiLevelType w:val="hybridMultilevel"/>
    <w:tmpl w:val="7B5AB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652ABC"/>
    <w:multiLevelType w:val="hybridMultilevel"/>
    <w:tmpl w:val="58AEA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tance Hanselaar (Gemeente Oosterhout)">
    <w15:presenceInfo w15:providerId="AD" w15:userId="S-1-5-21-2941196429-2764805749-1404463878-6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425"/>
  <w:drawingGridHorizontalSpacing w:val="90"/>
  <w:drawingGridVerticalSpacing w:val="245"/>
  <w:displayHorizontalDrawingGridEvery w:val="0"/>
  <w:displayVerticalDrawingGridEvery w:val="0"/>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D8"/>
    <w:rsid w:val="00074109"/>
    <w:rsid w:val="0012390D"/>
    <w:rsid w:val="0022762E"/>
    <w:rsid w:val="002750F4"/>
    <w:rsid w:val="00375749"/>
    <w:rsid w:val="004245A1"/>
    <w:rsid w:val="004417B8"/>
    <w:rsid w:val="00441AD8"/>
    <w:rsid w:val="0049371E"/>
    <w:rsid w:val="00494E24"/>
    <w:rsid w:val="004B2DA6"/>
    <w:rsid w:val="005759E4"/>
    <w:rsid w:val="005B73CF"/>
    <w:rsid w:val="005D31EF"/>
    <w:rsid w:val="005E6B69"/>
    <w:rsid w:val="005F3B4B"/>
    <w:rsid w:val="0063447D"/>
    <w:rsid w:val="006E42C2"/>
    <w:rsid w:val="00737901"/>
    <w:rsid w:val="007F1EF0"/>
    <w:rsid w:val="008218A1"/>
    <w:rsid w:val="008261F5"/>
    <w:rsid w:val="008261F8"/>
    <w:rsid w:val="008F6DBA"/>
    <w:rsid w:val="009240B5"/>
    <w:rsid w:val="009E0E18"/>
    <w:rsid w:val="00AC6031"/>
    <w:rsid w:val="00B02701"/>
    <w:rsid w:val="00C12BD6"/>
    <w:rsid w:val="00C32712"/>
    <w:rsid w:val="00C45847"/>
    <w:rsid w:val="00C9621C"/>
    <w:rsid w:val="00D02D3A"/>
    <w:rsid w:val="00D44ED7"/>
    <w:rsid w:val="00F46245"/>
    <w:rsid w:val="00FA0FF7"/>
    <w:rsid w:val="00FC54B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2CBA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712"/>
    <w:pPr>
      <w:spacing w:line="240" w:lineRule="exact"/>
    </w:pPr>
    <w:rPr>
      <w:rFonts w:ascii="Univers LT Std 55" w:hAnsi="Univers LT Std 55"/>
      <w:sz w:val="18"/>
    </w:rPr>
  </w:style>
  <w:style w:type="paragraph" w:styleId="Kop2">
    <w:name w:val="heading 2"/>
    <w:basedOn w:val="Standaard"/>
    <w:next w:val="Standaard"/>
    <w:link w:val="Kop2Char"/>
    <w:uiPriority w:val="9"/>
    <w:unhideWhenUsed/>
    <w:qFormat/>
    <w:rsid w:val="004245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autoRedefine/>
    <w:qFormat/>
    <w:rsid w:val="004417B8"/>
    <w:pPr>
      <w:keepNext/>
      <w:spacing w:after="0" w:line="240" w:lineRule="atLeast"/>
      <w:ind w:left="567" w:hanging="567"/>
      <w:jc w:val="both"/>
      <w:outlineLvl w:val="2"/>
    </w:pPr>
    <w:rPr>
      <w:rFonts w:ascii="Arial" w:eastAsia="Times New Roman" w:hAnsi="Arial" w:cs="Arial"/>
      <w:bCs/>
      <w:i/>
      <w:sz w:val="20"/>
      <w:szCs w:val="26"/>
      <w:lang w:eastAsia="en-US"/>
    </w:rPr>
  </w:style>
  <w:style w:type="paragraph" w:styleId="Kop4">
    <w:name w:val="heading 4"/>
    <w:basedOn w:val="Standaard"/>
    <w:next w:val="Standaard"/>
    <w:link w:val="Kop4Char"/>
    <w:uiPriority w:val="9"/>
    <w:unhideWhenUsed/>
    <w:qFormat/>
    <w:rsid w:val="004245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aliases w:val="CURSIEF Naam Schrijv(st)er"/>
    <w:basedOn w:val="Standaardalinea-lettertype"/>
    <w:uiPriority w:val="20"/>
    <w:qFormat/>
    <w:rsid w:val="00FA0FF7"/>
    <w:rPr>
      <w:i/>
      <w:iCs/>
    </w:rPr>
  </w:style>
  <w:style w:type="paragraph" w:styleId="Koptekst">
    <w:name w:val="header"/>
    <w:basedOn w:val="Standaard"/>
    <w:link w:val="KoptekstChar"/>
    <w:uiPriority w:val="99"/>
    <w:unhideWhenUsed/>
    <w:rsid w:val="00441AD8"/>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441AD8"/>
    <w:rPr>
      <w:rFonts w:ascii="Univers LT Std 55" w:hAnsi="Univers LT Std 55"/>
      <w:sz w:val="18"/>
    </w:rPr>
  </w:style>
  <w:style w:type="paragraph" w:styleId="Voettekst">
    <w:name w:val="footer"/>
    <w:basedOn w:val="Standaard"/>
    <w:link w:val="VoettekstChar"/>
    <w:uiPriority w:val="99"/>
    <w:unhideWhenUsed/>
    <w:rsid w:val="00441AD8"/>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441AD8"/>
    <w:rPr>
      <w:rFonts w:ascii="Univers LT Std 55" w:hAnsi="Univers LT Std 55"/>
      <w:sz w:val="18"/>
    </w:rPr>
  </w:style>
  <w:style w:type="paragraph" w:styleId="Ballontekst">
    <w:name w:val="Balloon Text"/>
    <w:basedOn w:val="Standaard"/>
    <w:link w:val="BallontekstChar"/>
    <w:uiPriority w:val="99"/>
    <w:semiHidden/>
    <w:unhideWhenUsed/>
    <w:rsid w:val="00441AD8"/>
    <w:pPr>
      <w:spacing w:after="0"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441AD8"/>
    <w:rPr>
      <w:rFonts w:ascii="Lucida Grande" w:hAnsi="Lucida Grande" w:cs="Lucida Grande"/>
      <w:sz w:val="18"/>
      <w:szCs w:val="18"/>
    </w:rPr>
  </w:style>
  <w:style w:type="character" w:customStyle="1" w:styleId="Kop3Char">
    <w:name w:val="Kop 3 Char"/>
    <w:basedOn w:val="Standaardalinea-lettertype"/>
    <w:link w:val="Kop3"/>
    <w:rsid w:val="004417B8"/>
    <w:rPr>
      <w:rFonts w:ascii="Arial" w:eastAsia="Times New Roman" w:hAnsi="Arial" w:cs="Arial"/>
      <w:bCs/>
      <w:i/>
      <w:sz w:val="20"/>
      <w:szCs w:val="26"/>
      <w:lang w:eastAsia="en-US"/>
    </w:rPr>
  </w:style>
  <w:style w:type="paragraph" w:styleId="Lijstalinea">
    <w:name w:val="List Paragraph"/>
    <w:basedOn w:val="Standaard"/>
    <w:uiPriority w:val="34"/>
    <w:qFormat/>
    <w:rsid w:val="004417B8"/>
    <w:pPr>
      <w:spacing w:after="0" w:line="240" w:lineRule="atLeast"/>
      <w:ind w:left="720"/>
      <w:contextualSpacing/>
      <w:jc w:val="both"/>
    </w:pPr>
    <w:rPr>
      <w:rFonts w:ascii="Arial" w:eastAsia="Times New Roman" w:hAnsi="Arial" w:cs="Times New Roman"/>
      <w:spacing w:val="6"/>
      <w:sz w:val="20"/>
      <w:szCs w:val="18"/>
      <w:lang w:eastAsia="nl-NL"/>
    </w:rPr>
  </w:style>
  <w:style w:type="table" w:styleId="Tabelraster">
    <w:name w:val="Table Grid"/>
    <w:basedOn w:val="Standaardtabel"/>
    <w:uiPriority w:val="59"/>
    <w:rsid w:val="004417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245A1"/>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4245A1"/>
    <w:rPr>
      <w:rFonts w:asciiTheme="majorHAnsi" w:eastAsiaTheme="majorEastAsia" w:hAnsiTheme="majorHAnsi" w:cstheme="majorBidi"/>
      <w:b/>
      <w:bCs/>
      <w:i/>
      <w:iCs/>
      <w:color w:val="4F81BD" w:themeColor="accent1"/>
      <w:sz w:val="18"/>
    </w:rPr>
  </w:style>
  <w:style w:type="paragraph" w:styleId="Voetnoottekst">
    <w:name w:val="footnote text"/>
    <w:basedOn w:val="Standaard"/>
    <w:link w:val="VoetnoottekstChar"/>
    <w:uiPriority w:val="99"/>
    <w:semiHidden/>
    <w:unhideWhenUsed/>
    <w:rsid w:val="001239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390D"/>
    <w:rPr>
      <w:rFonts w:ascii="Univers LT Std 55" w:hAnsi="Univers LT Std 55"/>
      <w:sz w:val="20"/>
      <w:szCs w:val="20"/>
    </w:rPr>
  </w:style>
  <w:style w:type="character" w:styleId="Voetnootmarkering">
    <w:name w:val="footnote reference"/>
    <w:basedOn w:val="Standaardalinea-lettertype"/>
    <w:uiPriority w:val="99"/>
    <w:semiHidden/>
    <w:unhideWhenUsed/>
    <w:rsid w:val="0012390D"/>
    <w:rPr>
      <w:vertAlign w:val="superscript"/>
    </w:rPr>
  </w:style>
  <w:style w:type="character" w:styleId="Verwijzingopmerking">
    <w:name w:val="annotation reference"/>
    <w:basedOn w:val="Standaardalinea-lettertype"/>
    <w:uiPriority w:val="99"/>
    <w:semiHidden/>
    <w:unhideWhenUsed/>
    <w:rsid w:val="00737901"/>
    <w:rPr>
      <w:sz w:val="16"/>
      <w:szCs w:val="16"/>
    </w:rPr>
  </w:style>
  <w:style w:type="paragraph" w:styleId="Tekstopmerking">
    <w:name w:val="annotation text"/>
    <w:basedOn w:val="Standaard"/>
    <w:link w:val="TekstopmerkingChar"/>
    <w:uiPriority w:val="99"/>
    <w:semiHidden/>
    <w:unhideWhenUsed/>
    <w:rsid w:val="007379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901"/>
    <w:rPr>
      <w:rFonts w:ascii="Univers LT Std 55" w:hAnsi="Univers LT Std 55"/>
      <w:sz w:val="20"/>
      <w:szCs w:val="20"/>
    </w:rPr>
  </w:style>
  <w:style w:type="paragraph" w:styleId="Onderwerpvanopmerking">
    <w:name w:val="annotation subject"/>
    <w:basedOn w:val="Tekstopmerking"/>
    <w:next w:val="Tekstopmerking"/>
    <w:link w:val="OnderwerpvanopmerkingChar"/>
    <w:uiPriority w:val="99"/>
    <w:semiHidden/>
    <w:unhideWhenUsed/>
    <w:rsid w:val="00737901"/>
    <w:rPr>
      <w:b/>
      <w:bCs/>
    </w:rPr>
  </w:style>
  <w:style w:type="character" w:customStyle="1" w:styleId="OnderwerpvanopmerkingChar">
    <w:name w:val="Onderwerp van opmerking Char"/>
    <w:basedOn w:val="TekstopmerkingChar"/>
    <w:link w:val="Onderwerpvanopmerking"/>
    <w:uiPriority w:val="99"/>
    <w:semiHidden/>
    <w:rsid w:val="00737901"/>
    <w:rPr>
      <w:rFonts w:ascii="Univers LT Std 55" w:hAnsi="Univers LT Std 55"/>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2712"/>
    <w:pPr>
      <w:spacing w:line="240" w:lineRule="exact"/>
    </w:pPr>
    <w:rPr>
      <w:rFonts w:ascii="Univers LT Std 55" w:hAnsi="Univers LT Std 55"/>
      <w:sz w:val="18"/>
    </w:rPr>
  </w:style>
  <w:style w:type="paragraph" w:styleId="Kop2">
    <w:name w:val="heading 2"/>
    <w:basedOn w:val="Standaard"/>
    <w:next w:val="Standaard"/>
    <w:link w:val="Kop2Char"/>
    <w:uiPriority w:val="9"/>
    <w:unhideWhenUsed/>
    <w:qFormat/>
    <w:rsid w:val="004245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autoRedefine/>
    <w:qFormat/>
    <w:rsid w:val="004417B8"/>
    <w:pPr>
      <w:keepNext/>
      <w:spacing w:after="0" w:line="240" w:lineRule="atLeast"/>
      <w:ind w:left="567" w:hanging="567"/>
      <w:jc w:val="both"/>
      <w:outlineLvl w:val="2"/>
    </w:pPr>
    <w:rPr>
      <w:rFonts w:ascii="Arial" w:eastAsia="Times New Roman" w:hAnsi="Arial" w:cs="Arial"/>
      <w:bCs/>
      <w:i/>
      <w:sz w:val="20"/>
      <w:szCs w:val="26"/>
      <w:lang w:eastAsia="en-US"/>
    </w:rPr>
  </w:style>
  <w:style w:type="paragraph" w:styleId="Kop4">
    <w:name w:val="heading 4"/>
    <w:basedOn w:val="Standaard"/>
    <w:next w:val="Standaard"/>
    <w:link w:val="Kop4Char"/>
    <w:uiPriority w:val="9"/>
    <w:unhideWhenUsed/>
    <w:qFormat/>
    <w:rsid w:val="004245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aliases w:val="CURSIEF Naam Schrijv(st)er"/>
    <w:basedOn w:val="Standaardalinea-lettertype"/>
    <w:uiPriority w:val="20"/>
    <w:qFormat/>
    <w:rsid w:val="00FA0FF7"/>
    <w:rPr>
      <w:i/>
      <w:iCs/>
    </w:rPr>
  </w:style>
  <w:style w:type="paragraph" w:styleId="Koptekst">
    <w:name w:val="header"/>
    <w:basedOn w:val="Standaard"/>
    <w:link w:val="KoptekstChar"/>
    <w:uiPriority w:val="99"/>
    <w:unhideWhenUsed/>
    <w:rsid w:val="00441AD8"/>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441AD8"/>
    <w:rPr>
      <w:rFonts w:ascii="Univers LT Std 55" w:hAnsi="Univers LT Std 55"/>
      <w:sz w:val="18"/>
    </w:rPr>
  </w:style>
  <w:style w:type="paragraph" w:styleId="Voettekst">
    <w:name w:val="footer"/>
    <w:basedOn w:val="Standaard"/>
    <w:link w:val="VoettekstChar"/>
    <w:uiPriority w:val="99"/>
    <w:unhideWhenUsed/>
    <w:rsid w:val="00441AD8"/>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441AD8"/>
    <w:rPr>
      <w:rFonts w:ascii="Univers LT Std 55" w:hAnsi="Univers LT Std 55"/>
      <w:sz w:val="18"/>
    </w:rPr>
  </w:style>
  <w:style w:type="paragraph" w:styleId="Ballontekst">
    <w:name w:val="Balloon Text"/>
    <w:basedOn w:val="Standaard"/>
    <w:link w:val="BallontekstChar"/>
    <w:uiPriority w:val="99"/>
    <w:semiHidden/>
    <w:unhideWhenUsed/>
    <w:rsid w:val="00441AD8"/>
    <w:pPr>
      <w:spacing w:after="0"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441AD8"/>
    <w:rPr>
      <w:rFonts w:ascii="Lucida Grande" w:hAnsi="Lucida Grande" w:cs="Lucida Grande"/>
      <w:sz w:val="18"/>
      <w:szCs w:val="18"/>
    </w:rPr>
  </w:style>
  <w:style w:type="character" w:customStyle="1" w:styleId="Kop3Char">
    <w:name w:val="Kop 3 Char"/>
    <w:basedOn w:val="Standaardalinea-lettertype"/>
    <w:link w:val="Kop3"/>
    <w:rsid w:val="004417B8"/>
    <w:rPr>
      <w:rFonts w:ascii="Arial" w:eastAsia="Times New Roman" w:hAnsi="Arial" w:cs="Arial"/>
      <w:bCs/>
      <w:i/>
      <w:sz w:val="20"/>
      <w:szCs w:val="26"/>
      <w:lang w:eastAsia="en-US"/>
    </w:rPr>
  </w:style>
  <w:style w:type="paragraph" w:styleId="Lijstalinea">
    <w:name w:val="List Paragraph"/>
    <w:basedOn w:val="Standaard"/>
    <w:uiPriority w:val="34"/>
    <w:qFormat/>
    <w:rsid w:val="004417B8"/>
    <w:pPr>
      <w:spacing w:after="0" w:line="240" w:lineRule="atLeast"/>
      <w:ind w:left="720"/>
      <w:contextualSpacing/>
      <w:jc w:val="both"/>
    </w:pPr>
    <w:rPr>
      <w:rFonts w:ascii="Arial" w:eastAsia="Times New Roman" w:hAnsi="Arial" w:cs="Times New Roman"/>
      <w:spacing w:val="6"/>
      <w:sz w:val="20"/>
      <w:szCs w:val="18"/>
      <w:lang w:eastAsia="nl-NL"/>
    </w:rPr>
  </w:style>
  <w:style w:type="table" w:styleId="Tabelraster">
    <w:name w:val="Table Grid"/>
    <w:basedOn w:val="Standaardtabel"/>
    <w:uiPriority w:val="59"/>
    <w:rsid w:val="004417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245A1"/>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4245A1"/>
    <w:rPr>
      <w:rFonts w:asciiTheme="majorHAnsi" w:eastAsiaTheme="majorEastAsia" w:hAnsiTheme="majorHAnsi" w:cstheme="majorBidi"/>
      <w:b/>
      <w:bCs/>
      <w:i/>
      <w:iCs/>
      <w:color w:val="4F81BD" w:themeColor="accent1"/>
      <w:sz w:val="18"/>
    </w:rPr>
  </w:style>
  <w:style w:type="paragraph" w:styleId="Voetnoottekst">
    <w:name w:val="footnote text"/>
    <w:basedOn w:val="Standaard"/>
    <w:link w:val="VoetnoottekstChar"/>
    <w:uiPriority w:val="99"/>
    <w:semiHidden/>
    <w:unhideWhenUsed/>
    <w:rsid w:val="001239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390D"/>
    <w:rPr>
      <w:rFonts w:ascii="Univers LT Std 55" w:hAnsi="Univers LT Std 55"/>
      <w:sz w:val="20"/>
      <w:szCs w:val="20"/>
    </w:rPr>
  </w:style>
  <w:style w:type="character" w:styleId="Voetnootmarkering">
    <w:name w:val="footnote reference"/>
    <w:basedOn w:val="Standaardalinea-lettertype"/>
    <w:uiPriority w:val="99"/>
    <w:semiHidden/>
    <w:unhideWhenUsed/>
    <w:rsid w:val="0012390D"/>
    <w:rPr>
      <w:vertAlign w:val="superscript"/>
    </w:rPr>
  </w:style>
  <w:style w:type="character" w:styleId="Verwijzingopmerking">
    <w:name w:val="annotation reference"/>
    <w:basedOn w:val="Standaardalinea-lettertype"/>
    <w:uiPriority w:val="99"/>
    <w:semiHidden/>
    <w:unhideWhenUsed/>
    <w:rsid w:val="00737901"/>
    <w:rPr>
      <w:sz w:val="16"/>
      <w:szCs w:val="16"/>
    </w:rPr>
  </w:style>
  <w:style w:type="paragraph" w:styleId="Tekstopmerking">
    <w:name w:val="annotation text"/>
    <w:basedOn w:val="Standaard"/>
    <w:link w:val="TekstopmerkingChar"/>
    <w:uiPriority w:val="99"/>
    <w:semiHidden/>
    <w:unhideWhenUsed/>
    <w:rsid w:val="007379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901"/>
    <w:rPr>
      <w:rFonts w:ascii="Univers LT Std 55" w:hAnsi="Univers LT Std 55"/>
      <w:sz w:val="20"/>
      <w:szCs w:val="20"/>
    </w:rPr>
  </w:style>
  <w:style w:type="paragraph" w:styleId="Onderwerpvanopmerking">
    <w:name w:val="annotation subject"/>
    <w:basedOn w:val="Tekstopmerking"/>
    <w:next w:val="Tekstopmerking"/>
    <w:link w:val="OnderwerpvanopmerkingChar"/>
    <w:uiPriority w:val="99"/>
    <w:semiHidden/>
    <w:unhideWhenUsed/>
    <w:rsid w:val="00737901"/>
    <w:rPr>
      <w:b/>
      <w:bCs/>
    </w:rPr>
  </w:style>
  <w:style w:type="character" w:customStyle="1" w:styleId="OnderwerpvanopmerkingChar">
    <w:name w:val="Onderwerp van opmerking Char"/>
    <w:basedOn w:val="TekstopmerkingChar"/>
    <w:link w:val="Onderwerpvanopmerking"/>
    <w:uiPriority w:val="99"/>
    <w:semiHidden/>
    <w:rsid w:val="00737901"/>
    <w:rPr>
      <w:rFonts w:ascii="Univers LT Std 55" w:hAnsi="Univers LT Std 55"/>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5910-7011-404D-8483-85A54F23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D3C5322D</Template>
  <TotalTime>0</TotalTime>
  <Pages>5</Pages>
  <Words>2541</Words>
  <Characters>13977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mb</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Kartodirdjo</cp:lastModifiedBy>
  <cp:revision>2</cp:revision>
  <cp:lastPrinted>2016-07-13T12:58:00Z</cp:lastPrinted>
  <dcterms:created xsi:type="dcterms:W3CDTF">2018-04-19T12:05:00Z</dcterms:created>
  <dcterms:modified xsi:type="dcterms:W3CDTF">2018-04-19T12:05:00Z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-1174195611</vt:i4>
  </property>
  <property fmtid="{D5CDD505-2E9C-101B-9397-08002B2CF9AE}" pid="3" name="_NewReviewCycle">
    <vt:lpwstr/>
  </property>
  <property fmtid="{D5CDD505-2E9C-101B-9397-08002B2CF9AE}" pid="4" name="_EmailSubject">
    <vt:lpwstr>website veiligheidshuis</vt:lpwstr>
  </property>
  <property fmtid="{D5CDD505-2E9C-101B-9397-08002B2CF9AE}" pid="5" name="_AuthorEmail">
    <vt:lpwstr>r.kartodirdjo@breda.nl</vt:lpwstr>
  </property>
  <property fmtid="{D5CDD505-2E9C-101B-9397-08002B2CF9AE}" pid="6" name="_AuthorEmailDisplayName">
    <vt:lpwstr>Kartodirdjo, R. (Ro)</vt:lpwstr>
  </property>
</Properties>
</file>