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28A" w:rsidRDefault="00EA228A" w:rsidP="00EA228A">
      <w:pPr>
        <w:jc w:val="center"/>
        <w:rPr>
          <w:rFonts w:ascii="Verdana" w:hAnsi="Verdana"/>
          <w:b/>
          <w:sz w:val="20"/>
          <w:szCs w:val="20"/>
        </w:rPr>
      </w:pPr>
      <w:bookmarkStart w:id="0" w:name="_GoBack"/>
      <w:bookmarkEnd w:id="0"/>
      <w:r w:rsidRPr="00EA228A">
        <w:rPr>
          <w:rFonts w:ascii="Verdana" w:hAnsi="Verdana"/>
          <w:b/>
          <w:sz w:val="20"/>
          <w:szCs w:val="20"/>
        </w:rPr>
        <w:t xml:space="preserve">UNIVERSELE REGIEKAART </w:t>
      </w:r>
      <w:r>
        <w:rPr>
          <w:rFonts w:ascii="Verdana" w:hAnsi="Verdana"/>
          <w:b/>
          <w:sz w:val="20"/>
          <w:szCs w:val="20"/>
        </w:rPr>
        <w:t xml:space="preserve">DE-ESCALEREN </w:t>
      </w:r>
    </w:p>
    <w:p w:rsidR="00DA64F2" w:rsidRPr="00EA228A" w:rsidRDefault="00EA228A" w:rsidP="00EA228A">
      <w:pPr>
        <w:jc w:val="center"/>
        <w:rPr>
          <w:rFonts w:ascii="Verdana" w:hAnsi="Verdana"/>
          <w:b/>
          <w:sz w:val="20"/>
          <w:szCs w:val="20"/>
        </w:rPr>
      </w:pPr>
      <w:r w:rsidRPr="00EA228A">
        <w:rPr>
          <w:rFonts w:ascii="Verdana" w:hAnsi="Verdana"/>
          <w:b/>
          <w:sz w:val="20"/>
          <w:szCs w:val="20"/>
        </w:rPr>
        <w:t>SOCIAAL DOMEIN, ZORG &amp; VEILGHEID</w:t>
      </w:r>
    </w:p>
    <w:p w:rsidR="00DA64F2" w:rsidRPr="00EA228A" w:rsidRDefault="00EA228A" w:rsidP="00EA228A">
      <w:pPr>
        <w:jc w:val="center"/>
        <w:rPr>
          <w:rFonts w:ascii="Verdana" w:hAnsi="Verdana"/>
          <w:b/>
          <w:sz w:val="20"/>
          <w:szCs w:val="20"/>
        </w:rPr>
      </w:pPr>
      <w:r w:rsidRPr="00EA228A">
        <w:rPr>
          <w:rFonts w:ascii="Verdana" w:hAnsi="Verdana"/>
          <w:b/>
          <w:sz w:val="20"/>
          <w:szCs w:val="20"/>
        </w:rPr>
        <w:t>WEST-BRABANT</w:t>
      </w:r>
    </w:p>
    <w:tbl>
      <w:tblPr>
        <w:tblStyle w:val="Tabelraster"/>
        <w:tblW w:w="9498" w:type="dxa"/>
        <w:tblInd w:w="-23"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268"/>
        <w:gridCol w:w="2410"/>
        <w:gridCol w:w="2410"/>
        <w:gridCol w:w="2410"/>
      </w:tblGrid>
      <w:tr w:rsidR="00DA64F2" w:rsidRPr="00DA64F2" w:rsidTr="00DA64F2">
        <w:tc>
          <w:tcPr>
            <w:tcW w:w="2268" w:type="dxa"/>
            <w:shd w:val="clear" w:color="auto" w:fill="92D05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 xml:space="preserve">Fase 1 </w:t>
            </w:r>
          </w:p>
          <w:p w:rsidR="00DA64F2" w:rsidRPr="00DA64F2" w:rsidRDefault="00DA64F2" w:rsidP="006931FD">
            <w:pPr>
              <w:rPr>
                <w:rFonts w:ascii="Verdana" w:hAnsi="Verdana"/>
                <w:b/>
                <w:color w:val="92D050"/>
                <w:sz w:val="15"/>
                <w:szCs w:val="15"/>
              </w:rPr>
            </w:pPr>
            <w:r w:rsidRPr="00DA64F2">
              <w:rPr>
                <w:rFonts w:ascii="Verdana" w:hAnsi="Verdana"/>
                <w:b/>
                <w:color w:val="FFFFFF" w:themeColor="background1"/>
                <w:sz w:val="15"/>
                <w:szCs w:val="15"/>
              </w:rPr>
              <w:t>Het gewone leven</w:t>
            </w:r>
          </w:p>
        </w:tc>
        <w:tc>
          <w:tcPr>
            <w:tcW w:w="2410" w:type="dxa"/>
            <w:shd w:val="clear" w:color="auto" w:fill="FFC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Fase 2</w:t>
            </w:r>
          </w:p>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 xml:space="preserve">Er zijn zorgen en er is hulp nodig </w:t>
            </w:r>
          </w:p>
        </w:tc>
        <w:tc>
          <w:tcPr>
            <w:tcW w:w="2410" w:type="dxa"/>
            <w:shd w:val="clear" w:color="auto" w:fill="FF0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Fase 3</w:t>
            </w:r>
          </w:p>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Er is (ook) onveiligheid</w:t>
            </w:r>
          </w:p>
        </w:tc>
        <w:tc>
          <w:tcPr>
            <w:tcW w:w="2410" w:type="dxa"/>
            <w:shd w:val="clear" w:color="auto" w:fill="C00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Fase 4</w:t>
            </w:r>
          </w:p>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Er is/ dreigt maatschappelijke onrust</w:t>
            </w:r>
          </w:p>
        </w:tc>
      </w:tr>
      <w:tr w:rsidR="00DA64F2" w:rsidRPr="00DA64F2" w:rsidTr="00DA64F2">
        <w:trPr>
          <w:trHeight w:val="1167"/>
        </w:trPr>
        <w:tc>
          <w:tcPr>
            <w:tcW w:w="2268" w:type="dxa"/>
          </w:tcPr>
          <w:p w:rsidR="00DA64F2" w:rsidRPr="00DA64F2" w:rsidRDefault="00DA64F2" w:rsidP="006931FD">
            <w:pPr>
              <w:rPr>
                <w:rFonts w:ascii="Verdana" w:hAnsi="Verdana"/>
                <w:color w:val="000000" w:themeColor="text1"/>
                <w:sz w:val="15"/>
                <w:szCs w:val="15"/>
              </w:rPr>
            </w:pPr>
            <w:r w:rsidRPr="00DA64F2">
              <w:rPr>
                <w:rFonts w:ascii="Verdana" w:hAnsi="Verdana"/>
                <w:color w:val="000000" w:themeColor="text1"/>
                <w:sz w:val="15"/>
                <w:szCs w:val="15"/>
              </w:rPr>
              <w:t>Problemen worden voorkomen door preventie en tijdig gesignaleerd als ze zich voordoen.</w:t>
            </w:r>
          </w:p>
        </w:tc>
        <w:tc>
          <w:tcPr>
            <w:tcW w:w="2410" w:type="dxa"/>
          </w:tcPr>
          <w:p w:rsidR="00DA64F2" w:rsidRPr="00DA64F2" w:rsidRDefault="00DA64F2" w:rsidP="006931FD">
            <w:pPr>
              <w:rPr>
                <w:rFonts w:ascii="Verdana" w:hAnsi="Verdana"/>
                <w:sz w:val="15"/>
                <w:szCs w:val="15"/>
              </w:rPr>
            </w:pPr>
            <w:r w:rsidRPr="00DA64F2">
              <w:rPr>
                <w:rFonts w:ascii="Verdana" w:hAnsi="Verdana"/>
                <w:color w:val="000000" w:themeColor="text1"/>
                <w:sz w:val="15"/>
                <w:szCs w:val="15"/>
              </w:rPr>
              <w:t>Burgers hebben hulp nodig. Het gaat om enkelvoudige of meervoudige hulp of complexe problematiek.</w:t>
            </w: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Er is sprake van complexe d</w:t>
            </w:r>
            <w:r w:rsidRPr="00DA64F2">
              <w:rPr>
                <w:rFonts w:ascii="Verdana" w:hAnsi="Verdana"/>
                <w:color w:val="000000" w:themeColor="text1"/>
                <w:sz w:val="15"/>
                <w:szCs w:val="15"/>
              </w:rPr>
              <w:t>omein-overstijgende problematiek. Hulp en/of samenwerking tussen professionals is niet effectief of stagneert. Er is sprake van overlast en/of de veiligheid is in gevaar.</w:t>
            </w:r>
          </w:p>
        </w:tc>
        <w:tc>
          <w:tcPr>
            <w:tcW w:w="2410" w:type="dxa"/>
          </w:tcPr>
          <w:p w:rsidR="00DA64F2" w:rsidRPr="00DA64F2" w:rsidRDefault="00DA64F2" w:rsidP="006931FD">
            <w:pPr>
              <w:rPr>
                <w:rFonts w:ascii="Verdana" w:hAnsi="Verdana"/>
                <w:sz w:val="15"/>
                <w:szCs w:val="15"/>
              </w:rPr>
            </w:pPr>
            <w:r w:rsidRPr="00DA64F2">
              <w:rPr>
                <w:rFonts w:ascii="Verdana" w:hAnsi="Verdana"/>
                <w:color w:val="000000" w:themeColor="text1"/>
                <w:sz w:val="15"/>
                <w:szCs w:val="15"/>
              </w:rPr>
              <w:t>Totale escalatie. Dreiging van maatschappelijke onrust al dan niet met media-aandacht.</w:t>
            </w:r>
          </w:p>
          <w:p w:rsidR="00DA64F2" w:rsidRPr="00DA64F2" w:rsidRDefault="00DA64F2" w:rsidP="006931FD">
            <w:pPr>
              <w:rPr>
                <w:rFonts w:ascii="Verdana" w:hAnsi="Verdana"/>
                <w:sz w:val="15"/>
                <w:szCs w:val="15"/>
              </w:rPr>
            </w:pPr>
            <w:r w:rsidRPr="00DA64F2">
              <w:rPr>
                <w:rFonts w:ascii="Verdana" w:hAnsi="Verdana"/>
                <w:sz w:val="15"/>
                <w:szCs w:val="15"/>
              </w:rPr>
              <w:t xml:space="preserve"> </w:t>
            </w:r>
          </w:p>
        </w:tc>
      </w:tr>
      <w:tr w:rsidR="00DA64F2" w:rsidRPr="00DA64F2" w:rsidTr="00DA64F2">
        <w:trPr>
          <w:trHeight w:val="270"/>
        </w:trPr>
        <w:tc>
          <w:tcPr>
            <w:tcW w:w="2268" w:type="dxa"/>
            <w:shd w:val="clear" w:color="auto" w:fill="92D05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 xml:space="preserve">1.Casusregie </w:t>
            </w:r>
          </w:p>
        </w:tc>
        <w:tc>
          <w:tcPr>
            <w:tcW w:w="2410" w:type="dxa"/>
            <w:shd w:val="clear" w:color="auto" w:fill="FFC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 xml:space="preserve">Casusregie </w:t>
            </w:r>
          </w:p>
        </w:tc>
        <w:tc>
          <w:tcPr>
            <w:tcW w:w="2410" w:type="dxa"/>
            <w:shd w:val="clear" w:color="auto" w:fill="FF0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 xml:space="preserve">Casusregie </w:t>
            </w:r>
          </w:p>
        </w:tc>
        <w:tc>
          <w:tcPr>
            <w:tcW w:w="2410" w:type="dxa"/>
            <w:shd w:val="clear" w:color="auto" w:fill="C00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 xml:space="preserve">Casusregie </w:t>
            </w:r>
          </w:p>
        </w:tc>
      </w:tr>
      <w:tr w:rsidR="00DA64F2" w:rsidRPr="00DA64F2" w:rsidTr="00DA64F2">
        <w:trPr>
          <w:trHeight w:val="2715"/>
        </w:trPr>
        <w:tc>
          <w:tcPr>
            <w:tcW w:w="2268" w:type="dxa"/>
          </w:tcPr>
          <w:p w:rsidR="00DA64F2" w:rsidRPr="00DA64F2" w:rsidRDefault="00DA64F2" w:rsidP="006931FD">
            <w:pPr>
              <w:rPr>
                <w:rFonts w:ascii="Verdana" w:hAnsi="Verdana"/>
                <w:sz w:val="15"/>
                <w:szCs w:val="15"/>
              </w:rPr>
            </w:pPr>
            <w:r w:rsidRPr="00DA64F2">
              <w:rPr>
                <w:rFonts w:ascii="Verdana" w:hAnsi="Verdana"/>
                <w:sz w:val="15"/>
                <w:szCs w:val="15"/>
              </w:rPr>
              <w:t>Burgers voeren zelf regie, eventueel met steun van naasten en/of omgeving en/of vrijwilligers en/of basisvoorzieningen.</w:t>
            </w:r>
          </w:p>
        </w:tc>
        <w:tc>
          <w:tcPr>
            <w:tcW w:w="2410" w:type="dxa"/>
          </w:tcPr>
          <w:p w:rsidR="00DA64F2" w:rsidRPr="00DA64F2" w:rsidRDefault="00DA64F2" w:rsidP="006931FD">
            <w:pPr>
              <w:rPr>
                <w:rFonts w:ascii="Verdana" w:hAnsi="Verdana"/>
                <w:b/>
                <w:sz w:val="15"/>
                <w:szCs w:val="15"/>
              </w:rPr>
            </w:pPr>
            <w:r w:rsidRPr="00DA64F2">
              <w:rPr>
                <w:rFonts w:ascii="Verdana" w:hAnsi="Verdana"/>
                <w:b/>
                <w:sz w:val="15"/>
                <w:szCs w:val="15"/>
              </w:rPr>
              <w:t>Vrijwillig kader:</w:t>
            </w:r>
          </w:p>
          <w:p w:rsidR="00DA64F2" w:rsidRPr="00DA64F2" w:rsidRDefault="00DA64F2" w:rsidP="006931FD">
            <w:pPr>
              <w:rPr>
                <w:rFonts w:ascii="Verdana" w:hAnsi="Verdana"/>
                <w:sz w:val="15"/>
                <w:szCs w:val="15"/>
              </w:rPr>
            </w:pPr>
            <w:r w:rsidRPr="00DA64F2">
              <w:rPr>
                <w:rFonts w:ascii="Verdana" w:hAnsi="Verdana"/>
                <w:sz w:val="15"/>
                <w:szCs w:val="15"/>
              </w:rPr>
              <w:t>Cliënt voert zelf casusregie of</w:t>
            </w:r>
          </w:p>
          <w:p w:rsidR="00DA64F2" w:rsidRPr="00DA64F2" w:rsidRDefault="00DA64F2" w:rsidP="00DA64F2">
            <w:pPr>
              <w:pStyle w:val="Lijstalinea"/>
              <w:numPr>
                <w:ilvl w:val="0"/>
                <w:numId w:val="1"/>
              </w:numPr>
              <w:rPr>
                <w:rFonts w:ascii="Verdana" w:hAnsi="Verdana"/>
                <w:sz w:val="15"/>
                <w:szCs w:val="15"/>
              </w:rPr>
            </w:pPr>
            <w:r w:rsidRPr="00DA64F2">
              <w:rPr>
                <w:rFonts w:ascii="Verdana" w:hAnsi="Verdana"/>
                <w:sz w:val="15"/>
                <w:szCs w:val="15"/>
              </w:rPr>
              <w:t>Sociaal Wijkteam of Toegang of CJG of zorgaanbieder of Veilig Thuis*</w:t>
            </w:r>
          </w:p>
          <w:p w:rsidR="00DA64F2" w:rsidRPr="00DA64F2" w:rsidRDefault="00DA64F2" w:rsidP="006931FD">
            <w:pPr>
              <w:rPr>
                <w:rFonts w:ascii="Verdana" w:hAnsi="Verdana"/>
                <w:b/>
                <w:sz w:val="15"/>
                <w:szCs w:val="15"/>
              </w:rPr>
            </w:pPr>
            <w:r w:rsidRPr="00DA64F2">
              <w:rPr>
                <w:rFonts w:ascii="Verdana" w:hAnsi="Verdana"/>
                <w:b/>
                <w:sz w:val="15"/>
                <w:szCs w:val="15"/>
              </w:rPr>
              <w:t>Gedwongen kader:</w:t>
            </w:r>
          </w:p>
          <w:p w:rsidR="00DA64F2" w:rsidRPr="00DA64F2" w:rsidRDefault="00DA64F2" w:rsidP="006931FD">
            <w:pPr>
              <w:rPr>
                <w:rFonts w:ascii="Verdana" w:hAnsi="Verdana"/>
                <w:sz w:val="15"/>
                <w:szCs w:val="15"/>
              </w:rPr>
            </w:pPr>
            <w:r w:rsidRPr="00DA64F2">
              <w:rPr>
                <w:rFonts w:ascii="Verdana" w:hAnsi="Verdana"/>
                <w:sz w:val="15"/>
                <w:szCs w:val="15"/>
              </w:rPr>
              <w:t>Casusregie is altijd belegd bij een professional</w:t>
            </w:r>
          </w:p>
          <w:p w:rsidR="00DA64F2" w:rsidRPr="00DA64F2" w:rsidRDefault="00DA64F2" w:rsidP="00DA64F2">
            <w:pPr>
              <w:pStyle w:val="Lijstalinea"/>
              <w:numPr>
                <w:ilvl w:val="0"/>
                <w:numId w:val="1"/>
              </w:numPr>
              <w:rPr>
                <w:rFonts w:ascii="Verdana" w:hAnsi="Verdana"/>
                <w:sz w:val="15"/>
                <w:szCs w:val="15"/>
              </w:rPr>
            </w:pPr>
            <w:r>
              <w:rPr>
                <w:rFonts w:ascii="Verdana" w:hAnsi="Verdana"/>
                <w:sz w:val="15"/>
                <w:szCs w:val="15"/>
              </w:rPr>
              <w:t>Jeugd: (</w:t>
            </w:r>
            <w:proofErr w:type="spellStart"/>
            <w:r>
              <w:rPr>
                <w:rFonts w:ascii="Verdana" w:hAnsi="Verdana"/>
                <w:sz w:val="15"/>
                <w:szCs w:val="15"/>
              </w:rPr>
              <w:t>gezins</w:t>
            </w:r>
            <w:proofErr w:type="spellEnd"/>
            <w:r>
              <w:rPr>
                <w:rFonts w:ascii="Verdana" w:hAnsi="Verdana"/>
                <w:sz w:val="15"/>
                <w:szCs w:val="15"/>
              </w:rPr>
              <w:t>)</w:t>
            </w:r>
            <w:r w:rsidRPr="00DA64F2">
              <w:rPr>
                <w:rFonts w:ascii="Verdana" w:hAnsi="Verdana"/>
                <w:sz w:val="15"/>
                <w:szCs w:val="15"/>
              </w:rPr>
              <w:t>voogd of jeugdreclasserings</w:t>
            </w:r>
            <w:r>
              <w:rPr>
                <w:rFonts w:ascii="Verdana" w:hAnsi="Verdana"/>
                <w:sz w:val="15"/>
                <w:szCs w:val="15"/>
              </w:rPr>
              <w:t>-</w:t>
            </w:r>
            <w:r w:rsidRPr="00DA64F2">
              <w:rPr>
                <w:rFonts w:ascii="Verdana" w:hAnsi="Verdana"/>
                <w:sz w:val="15"/>
                <w:szCs w:val="15"/>
              </w:rPr>
              <w:t xml:space="preserve">werker van gecertificeerde instelling </w:t>
            </w:r>
          </w:p>
          <w:p w:rsidR="00DA64F2" w:rsidRPr="00DA64F2" w:rsidRDefault="00DA64F2" w:rsidP="00DA64F2">
            <w:pPr>
              <w:pStyle w:val="Lijstalinea"/>
              <w:numPr>
                <w:ilvl w:val="0"/>
                <w:numId w:val="1"/>
              </w:numPr>
              <w:rPr>
                <w:rFonts w:ascii="Verdana" w:hAnsi="Verdana"/>
                <w:sz w:val="15"/>
                <w:szCs w:val="15"/>
              </w:rPr>
            </w:pPr>
            <w:r w:rsidRPr="00DA64F2">
              <w:rPr>
                <w:rFonts w:ascii="Verdana" w:hAnsi="Verdana"/>
                <w:sz w:val="15"/>
                <w:szCs w:val="15"/>
              </w:rPr>
              <w:t xml:space="preserve">Volwassenen: Reclassering, GGZ-aanbieder (IBS, RM) </w:t>
            </w:r>
          </w:p>
        </w:tc>
        <w:tc>
          <w:tcPr>
            <w:tcW w:w="2410" w:type="dxa"/>
          </w:tcPr>
          <w:p w:rsidR="00DA64F2" w:rsidRPr="00DA64F2" w:rsidRDefault="00DA64F2" w:rsidP="006931FD">
            <w:pPr>
              <w:rPr>
                <w:rFonts w:ascii="Verdana" w:hAnsi="Verdana"/>
                <w:b/>
                <w:sz w:val="15"/>
                <w:szCs w:val="15"/>
              </w:rPr>
            </w:pPr>
            <w:r w:rsidRPr="00DA64F2">
              <w:rPr>
                <w:rFonts w:ascii="Verdana" w:hAnsi="Verdana"/>
                <w:b/>
                <w:sz w:val="15"/>
                <w:szCs w:val="15"/>
              </w:rPr>
              <w:t>Vrijwillig kader:</w:t>
            </w:r>
          </w:p>
          <w:p w:rsidR="00DA64F2" w:rsidRPr="00DA64F2" w:rsidRDefault="00DA64F2" w:rsidP="006931FD">
            <w:pPr>
              <w:rPr>
                <w:rFonts w:ascii="Verdana" w:hAnsi="Verdana"/>
                <w:sz w:val="15"/>
                <w:szCs w:val="15"/>
              </w:rPr>
            </w:pPr>
            <w:r w:rsidRPr="00DA64F2">
              <w:rPr>
                <w:rFonts w:ascii="Verdana" w:hAnsi="Verdana"/>
                <w:sz w:val="15"/>
                <w:szCs w:val="15"/>
              </w:rPr>
              <w:t>Casusregie is altijd belegd bij professional:</w:t>
            </w:r>
          </w:p>
          <w:p w:rsidR="00DA64F2" w:rsidRPr="00DA64F2" w:rsidRDefault="00DA64F2" w:rsidP="00DA64F2">
            <w:pPr>
              <w:pStyle w:val="Lijstalinea"/>
              <w:numPr>
                <w:ilvl w:val="0"/>
                <w:numId w:val="1"/>
              </w:numPr>
              <w:rPr>
                <w:rFonts w:ascii="Verdana" w:hAnsi="Verdana"/>
                <w:sz w:val="15"/>
                <w:szCs w:val="15"/>
              </w:rPr>
            </w:pPr>
            <w:r w:rsidRPr="00DA64F2">
              <w:rPr>
                <w:rFonts w:ascii="Verdana" w:hAnsi="Verdana"/>
                <w:sz w:val="15"/>
                <w:szCs w:val="15"/>
              </w:rPr>
              <w:t>Sociaal Wijkteam of Toegang of CJG of zorgaanbieder of Veilig Thuis**</w:t>
            </w:r>
          </w:p>
          <w:p w:rsidR="00DA64F2" w:rsidRPr="00DA64F2" w:rsidRDefault="00DA64F2" w:rsidP="006931FD">
            <w:pPr>
              <w:rPr>
                <w:rFonts w:ascii="Verdana" w:hAnsi="Verdana"/>
                <w:sz w:val="15"/>
                <w:szCs w:val="15"/>
              </w:rPr>
            </w:pPr>
          </w:p>
          <w:p w:rsidR="00DA64F2" w:rsidRPr="00DA64F2" w:rsidRDefault="00DA64F2" w:rsidP="006931FD">
            <w:pPr>
              <w:rPr>
                <w:rFonts w:ascii="Verdana" w:hAnsi="Verdana"/>
                <w:b/>
                <w:sz w:val="15"/>
                <w:szCs w:val="15"/>
              </w:rPr>
            </w:pPr>
            <w:r w:rsidRPr="00DA64F2">
              <w:rPr>
                <w:rFonts w:ascii="Verdana" w:hAnsi="Verdana"/>
                <w:b/>
                <w:sz w:val="15"/>
                <w:szCs w:val="15"/>
              </w:rPr>
              <w:t>Gedwongen kader:</w:t>
            </w:r>
          </w:p>
          <w:p w:rsidR="00DA64F2" w:rsidRPr="00DA64F2" w:rsidRDefault="00DA64F2" w:rsidP="00DA64F2">
            <w:pPr>
              <w:pStyle w:val="Lijstalinea"/>
              <w:numPr>
                <w:ilvl w:val="0"/>
                <w:numId w:val="1"/>
              </w:numPr>
              <w:rPr>
                <w:rFonts w:ascii="Verdana" w:hAnsi="Verdana"/>
                <w:sz w:val="15"/>
                <w:szCs w:val="15"/>
              </w:rPr>
            </w:pPr>
            <w:r w:rsidRPr="00DA64F2">
              <w:rPr>
                <w:rFonts w:ascii="Verdana" w:hAnsi="Verdana"/>
                <w:sz w:val="15"/>
                <w:szCs w:val="15"/>
              </w:rPr>
              <w:t xml:space="preserve">Jeugd: (gezins-) voogd of jeugdreclasseringswerker van gecertificeerde instelling </w:t>
            </w:r>
          </w:p>
          <w:p w:rsidR="00DA64F2" w:rsidRPr="00DA64F2" w:rsidRDefault="00DA64F2" w:rsidP="00DA64F2">
            <w:pPr>
              <w:pStyle w:val="Lijstalinea"/>
              <w:numPr>
                <w:ilvl w:val="0"/>
                <w:numId w:val="1"/>
              </w:numPr>
              <w:rPr>
                <w:rFonts w:ascii="Verdana" w:hAnsi="Verdana"/>
                <w:sz w:val="15"/>
                <w:szCs w:val="15"/>
              </w:rPr>
            </w:pPr>
            <w:r w:rsidRPr="00DA64F2">
              <w:rPr>
                <w:rFonts w:ascii="Verdana" w:hAnsi="Verdana"/>
                <w:sz w:val="15"/>
                <w:szCs w:val="15"/>
              </w:rPr>
              <w:t xml:space="preserve">Volwassenen: Reclassering, GGZ-aanbieder (IBS, RM) </w:t>
            </w:r>
          </w:p>
          <w:p w:rsidR="00DA64F2" w:rsidRPr="00DA64F2" w:rsidRDefault="00DA64F2" w:rsidP="006931FD">
            <w:pPr>
              <w:rPr>
                <w:rFonts w:ascii="Verdana" w:hAnsi="Verdana"/>
                <w:sz w:val="15"/>
                <w:szCs w:val="15"/>
              </w:rPr>
            </w:pP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 xml:space="preserve">Hier is sprake van twee sporen: coördinatie op veiligheid en zorgcoördinatie. De coördinator van de </w:t>
            </w:r>
            <w:proofErr w:type="spellStart"/>
            <w:r w:rsidRPr="00DA64F2">
              <w:rPr>
                <w:rFonts w:ascii="Verdana" w:hAnsi="Verdana"/>
                <w:sz w:val="15"/>
                <w:szCs w:val="15"/>
              </w:rPr>
              <w:t>PSHi</w:t>
            </w:r>
            <w:proofErr w:type="spellEnd"/>
            <w:r w:rsidRPr="00DA64F2">
              <w:rPr>
                <w:rFonts w:ascii="Verdana" w:hAnsi="Verdana"/>
                <w:sz w:val="15"/>
                <w:szCs w:val="15"/>
              </w:rPr>
              <w:t xml:space="preserve"> (belegd bij de GGD) bepaalt de casusregie (Zorg) in overleg met de betrokken partijen. De ambtenaar OOV draagt zorg voor de veiligheid. Coördinator </w:t>
            </w:r>
            <w:proofErr w:type="spellStart"/>
            <w:r w:rsidRPr="00DA64F2">
              <w:rPr>
                <w:rFonts w:ascii="Verdana" w:hAnsi="Verdana"/>
                <w:sz w:val="15"/>
                <w:szCs w:val="15"/>
              </w:rPr>
              <w:t>PSHi</w:t>
            </w:r>
            <w:proofErr w:type="spellEnd"/>
            <w:r w:rsidRPr="00DA64F2">
              <w:rPr>
                <w:rFonts w:ascii="Verdana" w:hAnsi="Verdana"/>
                <w:sz w:val="15"/>
                <w:szCs w:val="15"/>
              </w:rPr>
              <w:t xml:space="preserve"> en ambtenaar OOV werken hierin samen. De casusregie wordt dus op maat bepaald of overgenomen.</w:t>
            </w:r>
          </w:p>
        </w:tc>
      </w:tr>
      <w:tr w:rsidR="00DA64F2" w:rsidRPr="00DA64F2" w:rsidTr="00DA64F2">
        <w:tc>
          <w:tcPr>
            <w:tcW w:w="2268" w:type="dxa"/>
            <w:shd w:val="clear" w:color="auto" w:fill="92D050"/>
          </w:tcPr>
          <w:p w:rsidR="00DA64F2" w:rsidRPr="00DA64F2" w:rsidRDefault="00DA64F2" w:rsidP="006931FD">
            <w:pPr>
              <w:rPr>
                <w:rFonts w:ascii="Verdana" w:hAnsi="Verdana"/>
                <w:b/>
                <w:sz w:val="15"/>
                <w:szCs w:val="15"/>
              </w:rPr>
            </w:pPr>
            <w:r w:rsidRPr="00DA64F2">
              <w:rPr>
                <w:rFonts w:ascii="Verdana" w:hAnsi="Verdana"/>
                <w:b/>
                <w:color w:val="FFFFFF" w:themeColor="background1"/>
                <w:sz w:val="15"/>
                <w:szCs w:val="15"/>
              </w:rPr>
              <w:t>2.Behandelregie</w:t>
            </w:r>
          </w:p>
        </w:tc>
        <w:tc>
          <w:tcPr>
            <w:tcW w:w="2410" w:type="dxa"/>
            <w:shd w:val="clear" w:color="auto" w:fill="FFC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Behandelregie</w:t>
            </w:r>
          </w:p>
        </w:tc>
        <w:tc>
          <w:tcPr>
            <w:tcW w:w="2410" w:type="dxa"/>
            <w:shd w:val="clear" w:color="auto" w:fill="FF0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Behandelregie</w:t>
            </w:r>
          </w:p>
        </w:tc>
        <w:tc>
          <w:tcPr>
            <w:tcW w:w="2410" w:type="dxa"/>
            <w:shd w:val="clear" w:color="auto" w:fill="C00000"/>
          </w:tcPr>
          <w:p w:rsidR="00DA64F2" w:rsidRPr="00DA64F2" w:rsidRDefault="00DA64F2" w:rsidP="006931FD">
            <w:pPr>
              <w:rPr>
                <w:rFonts w:ascii="Verdana" w:hAnsi="Verdana"/>
                <w:b/>
                <w:sz w:val="15"/>
                <w:szCs w:val="15"/>
              </w:rPr>
            </w:pPr>
            <w:r w:rsidRPr="00DA64F2">
              <w:rPr>
                <w:rFonts w:ascii="Verdana" w:hAnsi="Verdana"/>
                <w:b/>
                <w:sz w:val="15"/>
                <w:szCs w:val="15"/>
              </w:rPr>
              <w:t>Behandelregie</w:t>
            </w:r>
          </w:p>
        </w:tc>
      </w:tr>
      <w:tr w:rsidR="00DA64F2" w:rsidRPr="00DA64F2" w:rsidTr="00DA64F2">
        <w:tc>
          <w:tcPr>
            <w:tcW w:w="2268" w:type="dxa"/>
          </w:tcPr>
          <w:p w:rsidR="00DA64F2" w:rsidRPr="00DA64F2" w:rsidRDefault="00DA64F2" w:rsidP="006931FD">
            <w:pPr>
              <w:rPr>
                <w:rFonts w:ascii="Verdana" w:hAnsi="Verdana"/>
                <w:sz w:val="15"/>
                <w:szCs w:val="15"/>
              </w:rPr>
            </w:pPr>
            <w:r w:rsidRPr="00DA64F2">
              <w:rPr>
                <w:rFonts w:ascii="Verdana" w:hAnsi="Verdana"/>
                <w:sz w:val="15"/>
                <w:szCs w:val="15"/>
              </w:rPr>
              <w:t>Bekend bij cliënt zelf.</w:t>
            </w:r>
          </w:p>
          <w:p w:rsidR="00DA64F2" w:rsidRPr="00DA64F2" w:rsidRDefault="00DA64F2" w:rsidP="006931FD">
            <w:pPr>
              <w:ind w:left="411"/>
              <w:rPr>
                <w:rFonts w:ascii="Verdana" w:hAnsi="Verdana"/>
                <w:sz w:val="15"/>
                <w:szCs w:val="15"/>
              </w:rPr>
            </w:pPr>
          </w:p>
        </w:tc>
        <w:tc>
          <w:tcPr>
            <w:tcW w:w="2410" w:type="dxa"/>
          </w:tcPr>
          <w:p w:rsidR="00DA64F2" w:rsidRPr="00DA64F2" w:rsidRDefault="00DA64F2" w:rsidP="006931FD">
            <w:pPr>
              <w:rPr>
                <w:rFonts w:ascii="Verdana" w:hAnsi="Verdana"/>
                <w:color w:val="000000" w:themeColor="text1"/>
                <w:sz w:val="15"/>
                <w:szCs w:val="15"/>
              </w:rPr>
            </w:pPr>
            <w:r w:rsidRPr="00DA64F2">
              <w:rPr>
                <w:rFonts w:ascii="Verdana" w:hAnsi="Verdana"/>
                <w:sz w:val="15"/>
                <w:szCs w:val="15"/>
              </w:rPr>
              <w:t xml:space="preserve">Indien sprake is van jeugdigen of volwassenen die behandeld worden in de GGZ/Verslavingszorg, jeugdhulp of VG-zorg. </w:t>
            </w:r>
          </w:p>
          <w:p w:rsidR="00DA64F2" w:rsidRPr="00DA64F2" w:rsidRDefault="00DA64F2" w:rsidP="006931FD">
            <w:pPr>
              <w:rPr>
                <w:rFonts w:ascii="Verdana" w:hAnsi="Verdana"/>
                <w:color w:val="000000" w:themeColor="text1"/>
                <w:sz w:val="15"/>
                <w:szCs w:val="15"/>
              </w:rPr>
            </w:pPr>
          </w:p>
          <w:p w:rsidR="00DA64F2" w:rsidRPr="00DA64F2" w:rsidRDefault="00DA64F2" w:rsidP="006931FD">
            <w:pPr>
              <w:rPr>
                <w:rFonts w:ascii="Verdana" w:hAnsi="Verdana"/>
                <w:sz w:val="15"/>
                <w:szCs w:val="15"/>
              </w:rPr>
            </w:pPr>
            <w:r w:rsidRPr="00DA64F2">
              <w:rPr>
                <w:rFonts w:ascii="Verdana" w:hAnsi="Verdana"/>
                <w:color w:val="000000" w:themeColor="text1"/>
                <w:sz w:val="15"/>
                <w:szCs w:val="15"/>
              </w:rPr>
              <w:t>Casusregisseur stemt af met betrokkenen en meldt zich proactief bij de behandelregisseur of regiebehandelaar. De regiebehandelaar neemt contact op met casusregisseur als er zorgen zijn over de (opvoed)situatie van de cliënt.</w:t>
            </w: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 xml:space="preserve">Indien sprake is van jeugdigen of volwassenen die behandeld worden in GGZ/Verslavingszorg, jeugdhulp of VG-zorg. </w:t>
            </w:r>
          </w:p>
          <w:p w:rsidR="00DA64F2" w:rsidRPr="00DA64F2" w:rsidRDefault="00DA64F2" w:rsidP="006931FD">
            <w:pPr>
              <w:rPr>
                <w:rFonts w:ascii="Verdana" w:hAnsi="Verdana"/>
                <w:color w:val="000000" w:themeColor="text1"/>
                <w:sz w:val="15"/>
                <w:szCs w:val="15"/>
              </w:rPr>
            </w:pPr>
          </w:p>
          <w:p w:rsidR="00DA64F2" w:rsidRPr="00DA64F2" w:rsidRDefault="00DA64F2" w:rsidP="006931FD">
            <w:pPr>
              <w:rPr>
                <w:rFonts w:ascii="Verdana" w:hAnsi="Verdana"/>
                <w:sz w:val="15"/>
                <w:szCs w:val="15"/>
              </w:rPr>
            </w:pPr>
            <w:r w:rsidRPr="00DA64F2">
              <w:rPr>
                <w:rFonts w:ascii="Verdana" w:hAnsi="Verdana"/>
                <w:color w:val="000000" w:themeColor="text1"/>
                <w:sz w:val="15"/>
                <w:szCs w:val="15"/>
              </w:rPr>
              <w:t>Casusregisseur informeert behandelregisseur proactief over aard van onveiligheid. Checkt tevens met behandelregisseur de positie van de afzonderlijke gezinsleden.</w:t>
            </w:r>
          </w:p>
        </w:tc>
        <w:tc>
          <w:tcPr>
            <w:tcW w:w="2410" w:type="dxa"/>
          </w:tcPr>
          <w:p w:rsidR="00DA64F2" w:rsidRPr="00DA64F2" w:rsidRDefault="00DA64F2" w:rsidP="006931FD">
            <w:pPr>
              <w:rPr>
                <w:rFonts w:ascii="Verdana" w:hAnsi="Verdana"/>
                <w:color w:val="000000" w:themeColor="text1"/>
                <w:sz w:val="15"/>
                <w:szCs w:val="15"/>
              </w:rPr>
            </w:pPr>
            <w:r w:rsidRPr="00DA64F2">
              <w:rPr>
                <w:rFonts w:ascii="Verdana" w:hAnsi="Verdana"/>
                <w:color w:val="000000" w:themeColor="text1"/>
                <w:sz w:val="15"/>
                <w:szCs w:val="15"/>
              </w:rPr>
              <w:t>Indien sprake is van jeugdigen of volwassenen die behandeld worden in de GGZ/Verslavingszorg of VG-zorg.</w:t>
            </w:r>
          </w:p>
          <w:p w:rsidR="00DA64F2" w:rsidRPr="00DA64F2" w:rsidRDefault="00DA64F2" w:rsidP="006931FD">
            <w:pPr>
              <w:rPr>
                <w:rFonts w:ascii="Verdana" w:hAnsi="Verdana"/>
                <w:color w:val="000000" w:themeColor="text1"/>
                <w:sz w:val="15"/>
                <w:szCs w:val="15"/>
              </w:rPr>
            </w:pPr>
          </w:p>
          <w:p w:rsidR="00DA64F2" w:rsidRPr="00DA64F2" w:rsidRDefault="00DA64F2" w:rsidP="006931FD">
            <w:pPr>
              <w:rPr>
                <w:rFonts w:ascii="Verdana" w:hAnsi="Verdana"/>
                <w:sz w:val="15"/>
                <w:szCs w:val="15"/>
              </w:rPr>
            </w:pPr>
          </w:p>
        </w:tc>
      </w:tr>
      <w:tr w:rsidR="00DA64F2" w:rsidRPr="00DA64F2" w:rsidTr="00DA64F2">
        <w:tc>
          <w:tcPr>
            <w:tcW w:w="2268" w:type="dxa"/>
            <w:shd w:val="clear" w:color="auto" w:fill="92D050"/>
          </w:tcPr>
          <w:p w:rsidR="00DA64F2" w:rsidRPr="00DA64F2" w:rsidRDefault="00DA64F2" w:rsidP="006931FD">
            <w:pPr>
              <w:rPr>
                <w:rFonts w:ascii="Verdana" w:hAnsi="Verdana"/>
                <w:b/>
                <w:sz w:val="15"/>
                <w:szCs w:val="15"/>
              </w:rPr>
            </w:pPr>
            <w:r w:rsidRPr="00DA64F2">
              <w:rPr>
                <w:rFonts w:ascii="Verdana" w:hAnsi="Verdana"/>
                <w:b/>
                <w:color w:val="FFFFFF" w:themeColor="background1"/>
                <w:sz w:val="15"/>
                <w:szCs w:val="15"/>
              </w:rPr>
              <w:t>3.Procesregie</w:t>
            </w:r>
          </w:p>
        </w:tc>
        <w:tc>
          <w:tcPr>
            <w:tcW w:w="2410" w:type="dxa"/>
            <w:shd w:val="clear" w:color="auto" w:fill="FFC000"/>
          </w:tcPr>
          <w:p w:rsidR="00DA64F2" w:rsidRPr="00DA64F2" w:rsidRDefault="00DA64F2" w:rsidP="006931FD">
            <w:pPr>
              <w:rPr>
                <w:rFonts w:ascii="Verdana" w:hAnsi="Verdana"/>
                <w:b/>
                <w:sz w:val="15"/>
                <w:szCs w:val="15"/>
              </w:rPr>
            </w:pPr>
            <w:r w:rsidRPr="00DA64F2">
              <w:rPr>
                <w:rFonts w:ascii="Verdana" w:hAnsi="Verdana"/>
                <w:b/>
                <w:color w:val="FFFFFF" w:themeColor="background1"/>
                <w:sz w:val="15"/>
                <w:szCs w:val="15"/>
              </w:rPr>
              <w:t>Procesregie</w:t>
            </w:r>
          </w:p>
        </w:tc>
        <w:tc>
          <w:tcPr>
            <w:tcW w:w="2410" w:type="dxa"/>
            <w:shd w:val="clear" w:color="auto" w:fill="FF0000"/>
          </w:tcPr>
          <w:p w:rsidR="00DA64F2" w:rsidRPr="00DA64F2" w:rsidRDefault="00DA64F2" w:rsidP="006931FD">
            <w:pPr>
              <w:rPr>
                <w:rFonts w:ascii="Verdana" w:hAnsi="Verdana"/>
                <w:b/>
                <w:sz w:val="15"/>
                <w:szCs w:val="15"/>
              </w:rPr>
            </w:pPr>
            <w:r w:rsidRPr="00DA64F2">
              <w:rPr>
                <w:rFonts w:ascii="Verdana" w:hAnsi="Verdana"/>
                <w:b/>
                <w:color w:val="FFFFFF" w:themeColor="background1"/>
                <w:sz w:val="15"/>
                <w:szCs w:val="15"/>
              </w:rPr>
              <w:t>Procesregie</w:t>
            </w:r>
          </w:p>
        </w:tc>
        <w:tc>
          <w:tcPr>
            <w:tcW w:w="2410" w:type="dxa"/>
            <w:shd w:val="clear" w:color="auto" w:fill="C00000"/>
          </w:tcPr>
          <w:p w:rsidR="00DA64F2" w:rsidRPr="00DA64F2" w:rsidRDefault="00DA64F2" w:rsidP="006931FD">
            <w:pPr>
              <w:rPr>
                <w:rFonts w:ascii="Verdana" w:hAnsi="Verdana"/>
                <w:b/>
                <w:sz w:val="15"/>
                <w:szCs w:val="15"/>
              </w:rPr>
            </w:pPr>
            <w:r w:rsidRPr="00DA64F2">
              <w:rPr>
                <w:rFonts w:ascii="Verdana" w:hAnsi="Verdana"/>
                <w:b/>
                <w:sz w:val="15"/>
                <w:szCs w:val="15"/>
              </w:rPr>
              <w:t>Procesregie</w:t>
            </w:r>
          </w:p>
        </w:tc>
      </w:tr>
      <w:tr w:rsidR="00DA64F2" w:rsidRPr="00DA64F2" w:rsidTr="00DA64F2">
        <w:tc>
          <w:tcPr>
            <w:tcW w:w="2268" w:type="dxa"/>
          </w:tcPr>
          <w:p w:rsidR="00DA64F2" w:rsidRPr="00DA64F2" w:rsidRDefault="00DA64F2" w:rsidP="006931FD">
            <w:pPr>
              <w:rPr>
                <w:rFonts w:ascii="Verdana" w:hAnsi="Verdana"/>
                <w:sz w:val="15"/>
                <w:szCs w:val="15"/>
              </w:rPr>
            </w:pPr>
          </w:p>
        </w:tc>
        <w:tc>
          <w:tcPr>
            <w:tcW w:w="2410" w:type="dxa"/>
          </w:tcPr>
          <w:p w:rsidR="00DA64F2" w:rsidRPr="00DA64F2" w:rsidRDefault="00DA64F2" w:rsidP="006931FD">
            <w:pPr>
              <w:rPr>
                <w:rFonts w:ascii="Verdana" w:hAnsi="Verdana"/>
                <w:i/>
                <w:sz w:val="15"/>
                <w:szCs w:val="15"/>
              </w:rPr>
            </w:pPr>
            <w:r w:rsidRPr="00DA64F2">
              <w:rPr>
                <w:rFonts w:ascii="Verdana" w:hAnsi="Verdana"/>
                <w:sz w:val="15"/>
                <w:szCs w:val="15"/>
              </w:rPr>
              <w:t xml:space="preserve">Gemeentelijk procesregisseur Sociaal Domein heeft procesregie </w:t>
            </w:r>
            <w:r w:rsidRPr="00DA64F2">
              <w:rPr>
                <w:rFonts w:ascii="Verdana" w:hAnsi="Verdana"/>
                <w:b/>
                <w:i/>
                <w:sz w:val="15"/>
                <w:szCs w:val="15"/>
              </w:rPr>
              <w:t>of</w:t>
            </w:r>
            <w:r w:rsidRPr="00DA64F2">
              <w:rPr>
                <w:rFonts w:ascii="Verdana" w:hAnsi="Verdana"/>
                <w:i/>
                <w:sz w:val="15"/>
                <w:szCs w:val="15"/>
              </w:rPr>
              <w:t xml:space="preserve"> </w:t>
            </w:r>
            <w:r w:rsidRPr="00DA64F2">
              <w:rPr>
                <w:rFonts w:ascii="Verdana" w:hAnsi="Verdana"/>
                <w:sz w:val="15"/>
                <w:szCs w:val="15"/>
              </w:rPr>
              <w:t xml:space="preserve">MASS/OGGZ-team heeft procesregie </w:t>
            </w:r>
            <w:r w:rsidRPr="00DA64F2">
              <w:rPr>
                <w:rFonts w:ascii="Verdana" w:hAnsi="Verdana"/>
                <w:b/>
                <w:i/>
                <w:sz w:val="15"/>
                <w:szCs w:val="15"/>
              </w:rPr>
              <w:t>of</w:t>
            </w:r>
            <w:r w:rsidRPr="00DA64F2">
              <w:rPr>
                <w:rFonts w:ascii="Verdana" w:hAnsi="Verdana"/>
                <w:sz w:val="15"/>
                <w:szCs w:val="15"/>
              </w:rPr>
              <w:t xml:space="preserve"> Veilig Thuis.</w:t>
            </w:r>
          </w:p>
          <w:p w:rsidR="00DA64F2" w:rsidRPr="00DA64F2" w:rsidRDefault="00DA64F2" w:rsidP="006931FD">
            <w:pPr>
              <w:rPr>
                <w:rFonts w:ascii="Verdana" w:hAnsi="Verdana"/>
                <w:sz w:val="15"/>
                <w:szCs w:val="15"/>
              </w:rPr>
            </w:pPr>
          </w:p>
        </w:tc>
        <w:tc>
          <w:tcPr>
            <w:tcW w:w="2410" w:type="dxa"/>
          </w:tcPr>
          <w:p w:rsidR="00DA64F2" w:rsidRPr="00DA64F2" w:rsidRDefault="00DA64F2" w:rsidP="006931FD">
            <w:pPr>
              <w:rPr>
                <w:rFonts w:ascii="Verdana" w:hAnsi="Verdana"/>
                <w:i/>
                <w:sz w:val="15"/>
                <w:szCs w:val="15"/>
              </w:rPr>
            </w:pPr>
            <w:r w:rsidRPr="00DA64F2">
              <w:rPr>
                <w:rFonts w:ascii="Verdana" w:hAnsi="Verdana"/>
                <w:sz w:val="15"/>
                <w:szCs w:val="15"/>
              </w:rPr>
              <w:t xml:space="preserve">Gemeentelijk procesregisseur Sociaal Domein heeft procesregie </w:t>
            </w:r>
            <w:r w:rsidRPr="00DA64F2">
              <w:rPr>
                <w:rFonts w:ascii="Verdana" w:hAnsi="Verdana"/>
                <w:b/>
                <w:i/>
                <w:sz w:val="15"/>
                <w:szCs w:val="15"/>
              </w:rPr>
              <w:t>of</w:t>
            </w:r>
            <w:r w:rsidRPr="00DA64F2">
              <w:rPr>
                <w:rFonts w:ascii="Verdana" w:hAnsi="Verdana"/>
                <w:sz w:val="15"/>
                <w:szCs w:val="15"/>
              </w:rPr>
              <w:t xml:space="preserve"> Veiligheidshuis </w:t>
            </w:r>
            <w:r w:rsidRPr="00DA64F2">
              <w:rPr>
                <w:rFonts w:ascii="Verdana" w:hAnsi="Verdana"/>
                <w:b/>
                <w:i/>
                <w:sz w:val="15"/>
                <w:szCs w:val="15"/>
              </w:rPr>
              <w:t>of</w:t>
            </w:r>
            <w:r w:rsidRPr="00DA64F2">
              <w:rPr>
                <w:rFonts w:ascii="Verdana" w:hAnsi="Verdana"/>
                <w:sz w:val="15"/>
                <w:szCs w:val="15"/>
              </w:rPr>
              <w:t xml:space="preserve"> Veilig Thuis.</w:t>
            </w:r>
          </w:p>
          <w:p w:rsidR="00DA64F2" w:rsidRPr="00DA64F2" w:rsidRDefault="00DA64F2" w:rsidP="006931FD">
            <w:pPr>
              <w:rPr>
                <w:rFonts w:ascii="Verdana" w:hAnsi="Verdana"/>
                <w:sz w:val="15"/>
                <w:szCs w:val="15"/>
              </w:rPr>
            </w:pP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 xml:space="preserve">Ambtenaar Openbare Orde en Veiligheid (OOV) en coördinator </w:t>
            </w:r>
            <w:proofErr w:type="spellStart"/>
            <w:r w:rsidRPr="00DA64F2">
              <w:rPr>
                <w:rFonts w:ascii="Verdana" w:hAnsi="Verdana"/>
                <w:sz w:val="15"/>
                <w:szCs w:val="15"/>
              </w:rPr>
              <w:t>PSHi</w:t>
            </w:r>
            <w:proofErr w:type="spellEnd"/>
            <w:r w:rsidRPr="00DA64F2">
              <w:rPr>
                <w:rFonts w:ascii="Verdana" w:hAnsi="Verdana"/>
                <w:sz w:val="15"/>
                <w:szCs w:val="15"/>
              </w:rPr>
              <w:t xml:space="preserve"> hebben gezamenlijk procesregie. </w:t>
            </w:r>
          </w:p>
          <w:p w:rsidR="00DA64F2" w:rsidRPr="00DA64F2" w:rsidRDefault="00DA64F2" w:rsidP="006931FD">
            <w:pPr>
              <w:rPr>
                <w:rFonts w:ascii="Verdana" w:hAnsi="Verdana"/>
                <w:sz w:val="15"/>
                <w:szCs w:val="15"/>
              </w:rPr>
            </w:pPr>
          </w:p>
          <w:p w:rsidR="00DA64F2" w:rsidRPr="00DA64F2" w:rsidRDefault="00DA64F2" w:rsidP="006931FD">
            <w:pPr>
              <w:rPr>
                <w:rFonts w:ascii="Verdana" w:hAnsi="Verdana"/>
                <w:sz w:val="15"/>
                <w:szCs w:val="15"/>
              </w:rPr>
            </w:pPr>
            <w:r w:rsidRPr="00DA64F2">
              <w:rPr>
                <w:rFonts w:ascii="Verdana" w:hAnsi="Verdana"/>
                <w:sz w:val="15"/>
                <w:szCs w:val="15"/>
              </w:rPr>
              <w:t>Indien nodig treedt het Sociaal Calamiteitenplan in werking.</w:t>
            </w:r>
          </w:p>
        </w:tc>
      </w:tr>
      <w:tr w:rsidR="00DA64F2" w:rsidRPr="00DA64F2" w:rsidTr="00DA64F2">
        <w:trPr>
          <w:trHeight w:val="535"/>
        </w:trPr>
        <w:tc>
          <w:tcPr>
            <w:tcW w:w="2268" w:type="dxa"/>
            <w:shd w:val="clear" w:color="auto" w:fill="92D05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4.Operationeel verantwoordelijk</w:t>
            </w:r>
          </w:p>
        </w:tc>
        <w:tc>
          <w:tcPr>
            <w:tcW w:w="2410" w:type="dxa"/>
            <w:shd w:val="clear" w:color="auto" w:fill="FFC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Operationeel verantwoordelijk</w:t>
            </w:r>
          </w:p>
        </w:tc>
        <w:tc>
          <w:tcPr>
            <w:tcW w:w="2410" w:type="dxa"/>
            <w:shd w:val="clear" w:color="auto" w:fill="FF0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Operationeel verantwoordelijk</w:t>
            </w:r>
          </w:p>
        </w:tc>
        <w:tc>
          <w:tcPr>
            <w:tcW w:w="2410" w:type="dxa"/>
            <w:shd w:val="clear" w:color="auto" w:fill="C00000"/>
          </w:tcPr>
          <w:p w:rsidR="00DA64F2" w:rsidRPr="00DA64F2" w:rsidRDefault="00DA64F2" w:rsidP="006931FD">
            <w:pPr>
              <w:rPr>
                <w:rFonts w:ascii="Verdana" w:hAnsi="Verdana"/>
                <w:b/>
                <w:sz w:val="15"/>
                <w:szCs w:val="15"/>
              </w:rPr>
            </w:pPr>
            <w:r w:rsidRPr="00DA64F2">
              <w:rPr>
                <w:rFonts w:ascii="Verdana" w:hAnsi="Verdana"/>
                <w:b/>
                <w:sz w:val="15"/>
                <w:szCs w:val="15"/>
              </w:rPr>
              <w:t>Operationeel verantwoordelijk</w:t>
            </w:r>
          </w:p>
        </w:tc>
      </w:tr>
      <w:tr w:rsidR="00DA64F2" w:rsidRPr="00DA64F2" w:rsidTr="00DA64F2">
        <w:trPr>
          <w:trHeight w:val="326"/>
        </w:trPr>
        <w:tc>
          <w:tcPr>
            <w:tcW w:w="2268" w:type="dxa"/>
          </w:tcPr>
          <w:p w:rsidR="00DA64F2" w:rsidRPr="00DA64F2" w:rsidRDefault="00DA64F2" w:rsidP="006931FD">
            <w:pPr>
              <w:rPr>
                <w:rFonts w:ascii="Verdana" w:hAnsi="Verdana"/>
                <w:sz w:val="15"/>
                <w:szCs w:val="15"/>
              </w:rPr>
            </w:pPr>
            <w:r w:rsidRPr="00DA64F2">
              <w:rPr>
                <w:rFonts w:ascii="Verdana" w:hAnsi="Verdana"/>
                <w:sz w:val="15"/>
                <w:szCs w:val="15"/>
              </w:rPr>
              <w:t xml:space="preserve">Gemeentelijke basisvoorzieningen en betrokken organisaties </w:t>
            </w: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 xml:space="preserve">Teamleider integrale Toegang Sociaal Domein en managers betrokken professionals </w:t>
            </w: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Teamleider integrale Toegang Sociaal Domein en managers betrokken professionals</w:t>
            </w: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 xml:space="preserve">Ambtenaar OOV in samenwerking/afstemming met coördinator </w:t>
            </w:r>
            <w:proofErr w:type="spellStart"/>
            <w:r w:rsidRPr="00DA64F2">
              <w:rPr>
                <w:rFonts w:ascii="Verdana" w:hAnsi="Verdana"/>
                <w:sz w:val="15"/>
                <w:szCs w:val="15"/>
              </w:rPr>
              <w:t>PSHi</w:t>
            </w:r>
            <w:proofErr w:type="spellEnd"/>
            <w:r w:rsidRPr="00DA64F2">
              <w:rPr>
                <w:rFonts w:ascii="Verdana" w:hAnsi="Verdana"/>
                <w:sz w:val="15"/>
                <w:szCs w:val="15"/>
              </w:rPr>
              <w:t xml:space="preserve">. </w:t>
            </w:r>
          </w:p>
        </w:tc>
      </w:tr>
      <w:tr w:rsidR="00DA64F2" w:rsidRPr="00DA64F2" w:rsidTr="00DA64F2">
        <w:tc>
          <w:tcPr>
            <w:tcW w:w="2268" w:type="dxa"/>
            <w:shd w:val="clear" w:color="auto" w:fill="92D05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5. Bestuurlijk verantwoordelijk</w:t>
            </w:r>
          </w:p>
        </w:tc>
        <w:tc>
          <w:tcPr>
            <w:tcW w:w="2410" w:type="dxa"/>
            <w:shd w:val="clear" w:color="auto" w:fill="FFC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Bestuurlijk verantwoordelijk</w:t>
            </w:r>
          </w:p>
        </w:tc>
        <w:tc>
          <w:tcPr>
            <w:tcW w:w="2410" w:type="dxa"/>
            <w:shd w:val="clear" w:color="auto" w:fill="FF0000"/>
          </w:tcPr>
          <w:p w:rsidR="00DA64F2" w:rsidRPr="00DA64F2" w:rsidRDefault="00DA64F2" w:rsidP="006931FD">
            <w:pPr>
              <w:rPr>
                <w:rFonts w:ascii="Verdana" w:hAnsi="Verdana"/>
                <w:b/>
                <w:color w:val="FFFFFF" w:themeColor="background1"/>
                <w:sz w:val="15"/>
                <w:szCs w:val="15"/>
              </w:rPr>
            </w:pPr>
            <w:r w:rsidRPr="00DA64F2">
              <w:rPr>
                <w:rFonts w:ascii="Verdana" w:hAnsi="Verdana"/>
                <w:b/>
                <w:color w:val="FFFFFF" w:themeColor="background1"/>
                <w:sz w:val="15"/>
                <w:szCs w:val="15"/>
              </w:rPr>
              <w:t>Bestuurlijk verantwoordelijk</w:t>
            </w:r>
          </w:p>
        </w:tc>
        <w:tc>
          <w:tcPr>
            <w:tcW w:w="2410" w:type="dxa"/>
            <w:shd w:val="clear" w:color="auto" w:fill="C00000"/>
          </w:tcPr>
          <w:p w:rsidR="00DA64F2" w:rsidRPr="00DA64F2" w:rsidRDefault="00DA64F2" w:rsidP="006931FD">
            <w:pPr>
              <w:rPr>
                <w:rFonts w:ascii="Verdana" w:hAnsi="Verdana"/>
                <w:b/>
                <w:sz w:val="15"/>
                <w:szCs w:val="15"/>
              </w:rPr>
            </w:pPr>
            <w:r w:rsidRPr="00DA64F2">
              <w:rPr>
                <w:rFonts w:ascii="Verdana" w:hAnsi="Verdana"/>
                <w:b/>
                <w:sz w:val="15"/>
                <w:szCs w:val="15"/>
              </w:rPr>
              <w:t>Bestuurlijk verantwoordelijk</w:t>
            </w:r>
          </w:p>
        </w:tc>
      </w:tr>
      <w:tr w:rsidR="00DA64F2" w:rsidRPr="00DA64F2" w:rsidTr="00DA64F2">
        <w:tc>
          <w:tcPr>
            <w:tcW w:w="2268" w:type="dxa"/>
          </w:tcPr>
          <w:p w:rsidR="00DA64F2" w:rsidRPr="00DA64F2" w:rsidRDefault="00DA64F2" w:rsidP="006931FD">
            <w:pPr>
              <w:rPr>
                <w:rFonts w:ascii="Verdana" w:hAnsi="Verdana"/>
                <w:sz w:val="15"/>
                <w:szCs w:val="15"/>
              </w:rPr>
            </w:pPr>
            <w:r w:rsidRPr="00DA64F2">
              <w:rPr>
                <w:rFonts w:ascii="Verdana" w:hAnsi="Verdana"/>
                <w:sz w:val="15"/>
                <w:szCs w:val="15"/>
              </w:rPr>
              <w:t xml:space="preserve">Wethouder </w:t>
            </w:r>
          </w:p>
          <w:p w:rsidR="00DA64F2" w:rsidRPr="00DA64F2" w:rsidRDefault="00DA64F2" w:rsidP="006931FD">
            <w:pPr>
              <w:rPr>
                <w:rFonts w:ascii="Verdana" w:hAnsi="Verdana"/>
                <w:sz w:val="15"/>
                <w:szCs w:val="15"/>
              </w:rPr>
            </w:pP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 xml:space="preserve">Wethouder </w:t>
            </w:r>
          </w:p>
          <w:p w:rsidR="00DA64F2" w:rsidRPr="00DA64F2" w:rsidRDefault="00DA64F2" w:rsidP="006931FD">
            <w:pPr>
              <w:rPr>
                <w:rFonts w:ascii="Verdana" w:hAnsi="Verdana"/>
                <w:sz w:val="15"/>
                <w:szCs w:val="15"/>
              </w:rPr>
            </w:pP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Wethouder. Wethouder bepaalt of burgemeester wordt geïnformeerd.</w:t>
            </w:r>
          </w:p>
        </w:tc>
        <w:tc>
          <w:tcPr>
            <w:tcW w:w="2410" w:type="dxa"/>
          </w:tcPr>
          <w:p w:rsidR="00DA64F2" w:rsidRPr="00DA64F2" w:rsidRDefault="00DA64F2" w:rsidP="006931FD">
            <w:pPr>
              <w:rPr>
                <w:rFonts w:ascii="Verdana" w:hAnsi="Verdana"/>
                <w:sz w:val="15"/>
                <w:szCs w:val="15"/>
              </w:rPr>
            </w:pPr>
            <w:r w:rsidRPr="00DA64F2">
              <w:rPr>
                <w:rFonts w:ascii="Verdana" w:hAnsi="Verdana"/>
                <w:sz w:val="15"/>
                <w:szCs w:val="15"/>
              </w:rPr>
              <w:t>Burgemeester en verantwoordelijk wethouder</w:t>
            </w:r>
          </w:p>
        </w:tc>
      </w:tr>
    </w:tbl>
    <w:p w:rsidR="00EA228A" w:rsidRPr="00EA228A" w:rsidRDefault="00EA228A" w:rsidP="00EA228A">
      <w:pPr>
        <w:jc w:val="center"/>
        <w:rPr>
          <w:rFonts w:ascii="Verdana" w:hAnsi="Verdana"/>
          <w:b/>
          <w:sz w:val="20"/>
          <w:szCs w:val="20"/>
        </w:rPr>
      </w:pPr>
      <w:r w:rsidRPr="00EA228A">
        <w:rPr>
          <w:rFonts w:ascii="Verdana" w:hAnsi="Verdana"/>
          <w:b/>
          <w:sz w:val="20"/>
          <w:szCs w:val="20"/>
        </w:rPr>
        <w:lastRenderedPageBreak/>
        <w:t>CRITERIA ADVIES/CONSULT VRAGEN OF OPSCHALEN EN AFSCHALEN</w:t>
      </w:r>
    </w:p>
    <w:tbl>
      <w:tblPr>
        <w:tblStyle w:val="Tabelraster"/>
        <w:tblW w:w="0" w:type="auto"/>
        <w:tblInd w:w="-5"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126"/>
        <w:gridCol w:w="3958"/>
        <w:gridCol w:w="3941"/>
      </w:tblGrid>
      <w:tr w:rsidR="003953CD" w:rsidRPr="00CB7429" w:rsidTr="000D4CCA">
        <w:tc>
          <w:tcPr>
            <w:tcW w:w="1134" w:type="dxa"/>
          </w:tcPr>
          <w:p w:rsidR="003953CD" w:rsidRPr="00CB7429" w:rsidRDefault="003953CD" w:rsidP="000D4CCA">
            <w:pPr>
              <w:rPr>
                <w:rFonts w:ascii="Verdana" w:hAnsi="Verdana"/>
                <w:b/>
                <w:sz w:val="18"/>
                <w:szCs w:val="18"/>
              </w:rPr>
            </w:pPr>
          </w:p>
        </w:tc>
        <w:tc>
          <w:tcPr>
            <w:tcW w:w="3969" w:type="dxa"/>
          </w:tcPr>
          <w:p w:rsidR="003953CD" w:rsidRPr="00CB7429" w:rsidRDefault="003953CD" w:rsidP="000D4CCA">
            <w:pPr>
              <w:rPr>
                <w:rFonts w:ascii="Verdana" w:hAnsi="Verdana"/>
                <w:b/>
                <w:sz w:val="18"/>
                <w:szCs w:val="18"/>
              </w:rPr>
            </w:pPr>
            <w:r w:rsidRPr="00CB7429">
              <w:rPr>
                <w:rFonts w:ascii="Verdana" w:hAnsi="Verdana"/>
                <w:b/>
                <w:sz w:val="18"/>
                <w:szCs w:val="18"/>
              </w:rPr>
              <w:t xml:space="preserve">Criteria Advies/Consult vragen of Opschalen </w:t>
            </w:r>
          </w:p>
        </w:tc>
        <w:tc>
          <w:tcPr>
            <w:tcW w:w="3958" w:type="dxa"/>
          </w:tcPr>
          <w:p w:rsidR="003953CD" w:rsidRPr="00CB7429" w:rsidRDefault="003953CD" w:rsidP="000D4CCA">
            <w:pPr>
              <w:rPr>
                <w:rFonts w:ascii="Verdana" w:hAnsi="Verdana"/>
                <w:b/>
                <w:sz w:val="18"/>
                <w:szCs w:val="18"/>
              </w:rPr>
            </w:pPr>
            <w:r w:rsidRPr="00CB7429">
              <w:rPr>
                <w:rFonts w:ascii="Verdana" w:hAnsi="Verdana"/>
                <w:b/>
                <w:sz w:val="18"/>
                <w:szCs w:val="18"/>
              </w:rPr>
              <w:t xml:space="preserve">Criteria Advies/Consult vragen of Afschalen </w:t>
            </w:r>
          </w:p>
        </w:tc>
      </w:tr>
      <w:tr w:rsidR="003953CD" w:rsidRPr="00CB7429" w:rsidTr="000D4CCA">
        <w:trPr>
          <w:trHeight w:val="822"/>
        </w:trPr>
        <w:tc>
          <w:tcPr>
            <w:tcW w:w="1134" w:type="dxa"/>
            <w:shd w:val="clear" w:color="auto" w:fill="92D050"/>
          </w:tcPr>
          <w:p w:rsidR="003953CD" w:rsidRPr="00CB7429" w:rsidRDefault="003953CD" w:rsidP="000D4CCA">
            <w:pPr>
              <w:rPr>
                <w:rFonts w:ascii="Verdana" w:hAnsi="Verdana"/>
                <w:b/>
                <w:color w:val="FFFFFF" w:themeColor="background1"/>
                <w:sz w:val="18"/>
                <w:szCs w:val="18"/>
              </w:rPr>
            </w:pPr>
            <w:r w:rsidRPr="00CB7429">
              <w:rPr>
                <w:rFonts w:ascii="Verdana" w:hAnsi="Verdana"/>
                <w:b/>
                <w:color w:val="FFFFFF" w:themeColor="background1"/>
                <w:sz w:val="18"/>
                <w:szCs w:val="18"/>
              </w:rPr>
              <w:t>Fase 1</w:t>
            </w:r>
          </w:p>
        </w:tc>
        <w:tc>
          <w:tcPr>
            <w:tcW w:w="3969" w:type="dxa"/>
          </w:tcPr>
          <w:p w:rsidR="003953CD" w:rsidRPr="00CB7429" w:rsidRDefault="003953CD" w:rsidP="000D4CCA">
            <w:pPr>
              <w:widowControl w:val="0"/>
              <w:autoSpaceDE w:val="0"/>
              <w:autoSpaceDN w:val="0"/>
              <w:adjustRightInd w:val="0"/>
              <w:spacing w:line="240" w:lineRule="atLeast"/>
              <w:rPr>
                <w:rFonts w:ascii="Verdana" w:hAnsi="Verdana" w:cs="Arial"/>
                <w:sz w:val="18"/>
                <w:szCs w:val="18"/>
              </w:rPr>
            </w:pPr>
            <w:r w:rsidRPr="00CB7429">
              <w:rPr>
                <w:rFonts w:ascii="Verdana" w:hAnsi="Verdana" w:cs="Calibri"/>
                <w:b/>
                <w:bCs/>
                <w:sz w:val="18"/>
                <w:szCs w:val="18"/>
              </w:rPr>
              <w:t>Naar fase 2:</w:t>
            </w:r>
          </w:p>
          <w:p w:rsidR="003953CD" w:rsidRPr="00CB7429" w:rsidRDefault="003953CD" w:rsidP="000D4CCA">
            <w:pPr>
              <w:rPr>
                <w:rFonts w:ascii="Verdana" w:hAnsi="Verdana"/>
                <w:sz w:val="18"/>
                <w:szCs w:val="18"/>
              </w:rPr>
            </w:pPr>
            <w:r w:rsidRPr="00CB7429">
              <w:rPr>
                <w:rFonts w:ascii="Verdana" w:hAnsi="Verdana" w:cs="Calibri"/>
                <w:sz w:val="18"/>
                <w:szCs w:val="18"/>
              </w:rPr>
              <w:t>Bij hulpbehoefte betrokkene of noodzaak voor hulp (met aandacht voor draagkracht-draaglast naasten)</w:t>
            </w:r>
            <w:r w:rsidRPr="00CB7429">
              <w:rPr>
                <w:rFonts w:ascii="Verdana" w:hAnsi="Verdana" w:cs="Calibri"/>
                <w:b/>
                <w:bCs/>
                <w:sz w:val="18"/>
                <w:szCs w:val="18"/>
              </w:rPr>
              <w:t>.</w:t>
            </w:r>
          </w:p>
        </w:tc>
        <w:tc>
          <w:tcPr>
            <w:tcW w:w="3958" w:type="dxa"/>
          </w:tcPr>
          <w:p w:rsidR="003953CD" w:rsidRPr="00CB7429" w:rsidRDefault="003953CD" w:rsidP="000D4CCA">
            <w:pPr>
              <w:rPr>
                <w:rFonts w:ascii="Verdana" w:hAnsi="Verdana"/>
                <w:sz w:val="18"/>
                <w:szCs w:val="18"/>
              </w:rPr>
            </w:pPr>
            <w:r w:rsidRPr="00CB7429">
              <w:rPr>
                <w:rFonts w:ascii="Verdana" w:hAnsi="Verdana"/>
                <w:b/>
                <w:sz w:val="18"/>
                <w:szCs w:val="18"/>
              </w:rPr>
              <w:t>Afschalen niet aan de orde</w:t>
            </w:r>
            <w:r w:rsidRPr="00CB7429">
              <w:rPr>
                <w:rFonts w:ascii="Verdana" w:hAnsi="Verdana"/>
                <w:sz w:val="18"/>
                <w:szCs w:val="18"/>
              </w:rPr>
              <w:t xml:space="preserve"> </w:t>
            </w:r>
          </w:p>
          <w:p w:rsidR="003953CD" w:rsidRPr="00CB7429" w:rsidRDefault="003953CD" w:rsidP="000D4CCA">
            <w:pPr>
              <w:rPr>
                <w:rFonts w:ascii="Verdana" w:hAnsi="Verdana"/>
                <w:sz w:val="18"/>
                <w:szCs w:val="18"/>
              </w:rPr>
            </w:pPr>
            <w:r w:rsidRPr="00CB7429">
              <w:rPr>
                <w:rFonts w:ascii="Verdana" w:hAnsi="Verdana"/>
                <w:sz w:val="18"/>
                <w:szCs w:val="18"/>
              </w:rPr>
              <w:t xml:space="preserve"> Fase 1 = gewone leven. </w:t>
            </w:r>
          </w:p>
        </w:tc>
      </w:tr>
      <w:tr w:rsidR="003953CD" w:rsidRPr="00CB7429" w:rsidTr="000D4CCA">
        <w:trPr>
          <w:trHeight w:val="3743"/>
        </w:trPr>
        <w:tc>
          <w:tcPr>
            <w:tcW w:w="1134" w:type="dxa"/>
            <w:shd w:val="clear" w:color="auto" w:fill="FFC000"/>
          </w:tcPr>
          <w:p w:rsidR="003953CD" w:rsidRPr="00CB7429" w:rsidRDefault="003953CD" w:rsidP="000D4CCA">
            <w:pPr>
              <w:rPr>
                <w:rFonts w:ascii="Verdana" w:hAnsi="Verdana"/>
                <w:b/>
                <w:color w:val="FFFFFF" w:themeColor="background1"/>
                <w:sz w:val="18"/>
                <w:szCs w:val="18"/>
              </w:rPr>
            </w:pPr>
            <w:r w:rsidRPr="00CB7429">
              <w:rPr>
                <w:rFonts w:ascii="Verdana" w:hAnsi="Verdana"/>
                <w:b/>
                <w:color w:val="FFFFFF" w:themeColor="background1"/>
                <w:sz w:val="18"/>
                <w:szCs w:val="18"/>
              </w:rPr>
              <w:t>Fase 2</w:t>
            </w:r>
          </w:p>
        </w:tc>
        <w:tc>
          <w:tcPr>
            <w:tcW w:w="3969" w:type="dxa"/>
          </w:tcPr>
          <w:p w:rsidR="003953CD" w:rsidRPr="00CB7429" w:rsidRDefault="003953CD" w:rsidP="000D4CCA">
            <w:pPr>
              <w:rPr>
                <w:rFonts w:ascii="Verdana" w:hAnsi="Verdana"/>
                <w:sz w:val="18"/>
                <w:szCs w:val="18"/>
              </w:rPr>
            </w:pPr>
            <w:r w:rsidRPr="00CB7429">
              <w:rPr>
                <w:rFonts w:ascii="Verdana" w:hAnsi="Verdana"/>
                <w:b/>
                <w:sz w:val="18"/>
                <w:szCs w:val="18"/>
              </w:rPr>
              <w:t xml:space="preserve">Naar fase 3 (door casusregisseur of hulpverlening) </w:t>
            </w:r>
          </w:p>
          <w:p w:rsidR="003953CD" w:rsidRPr="00CB7429" w:rsidRDefault="003953CD" w:rsidP="003953CD">
            <w:pPr>
              <w:pStyle w:val="Lijstalinea"/>
              <w:widowControl w:val="0"/>
              <w:numPr>
                <w:ilvl w:val="0"/>
                <w:numId w:val="7"/>
              </w:numPr>
              <w:autoSpaceDE w:val="0"/>
              <w:autoSpaceDN w:val="0"/>
              <w:adjustRightInd w:val="0"/>
              <w:spacing w:line="240" w:lineRule="atLeast"/>
              <w:rPr>
                <w:rFonts w:ascii="Verdana" w:hAnsi="Verdana" w:cs="Arial"/>
                <w:sz w:val="18"/>
                <w:szCs w:val="18"/>
              </w:rPr>
            </w:pPr>
            <w:r w:rsidRPr="00CB7429">
              <w:rPr>
                <w:rFonts w:ascii="Verdana" w:hAnsi="Verdana" w:cs="Arial"/>
                <w:sz w:val="18"/>
                <w:szCs w:val="18"/>
              </w:rPr>
              <w:t>Bij toename hulpbehoefte (met aandacht voor draagkracht-draaglast naasten).</w:t>
            </w:r>
          </w:p>
          <w:p w:rsidR="003953CD" w:rsidRPr="00CB7429" w:rsidRDefault="003953CD" w:rsidP="003953CD">
            <w:pPr>
              <w:pStyle w:val="Lijstalinea"/>
              <w:widowControl w:val="0"/>
              <w:numPr>
                <w:ilvl w:val="0"/>
                <w:numId w:val="2"/>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Bij stagnatie van hulp</w:t>
            </w:r>
          </w:p>
          <w:p w:rsidR="003953CD" w:rsidRPr="00CB7429" w:rsidRDefault="003953CD" w:rsidP="003953CD">
            <w:pPr>
              <w:pStyle w:val="Lijstalinea"/>
              <w:widowControl w:val="0"/>
              <w:numPr>
                <w:ilvl w:val="0"/>
                <w:numId w:val="2"/>
              </w:numPr>
              <w:autoSpaceDE w:val="0"/>
              <w:autoSpaceDN w:val="0"/>
              <w:adjustRightInd w:val="0"/>
              <w:spacing w:line="240" w:lineRule="atLeast"/>
              <w:rPr>
                <w:rFonts w:ascii="Verdana" w:hAnsi="Verdana" w:cs="Arial"/>
                <w:sz w:val="18"/>
                <w:szCs w:val="18"/>
              </w:rPr>
            </w:pPr>
            <w:r w:rsidRPr="00CB7429">
              <w:rPr>
                <w:rFonts w:ascii="Verdana" w:hAnsi="Verdana" w:cs="Arial"/>
                <w:sz w:val="18"/>
                <w:szCs w:val="18"/>
              </w:rPr>
              <w:t>B</w:t>
            </w:r>
            <w:r w:rsidRPr="00CB7429">
              <w:rPr>
                <w:rFonts w:ascii="Verdana" w:hAnsi="Verdana" w:cs="Calibri"/>
                <w:sz w:val="18"/>
                <w:szCs w:val="18"/>
              </w:rPr>
              <w:t>ij samenwerkingsproblemen of onduidelijkheid in de keten over wie casusregie heeft</w:t>
            </w:r>
          </w:p>
          <w:p w:rsidR="003953CD" w:rsidRPr="00CB7429" w:rsidRDefault="003953CD" w:rsidP="003953CD">
            <w:pPr>
              <w:pStyle w:val="Lijstalinea"/>
              <w:widowControl w:val="0"/>
              <w:numPr>
                <w:ilvl w:val="0"/>
                <w:numId w:val="2"/>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Bij (herhaalde) overlast</w:t>
            </w:r>
          </w:p>
          <w:p w:rsidR="003953CD" w:rsidRPr="00CB7429" w:rsidRDefault="003953CD" w:rsidP="003953CD">
            <w:pPr>
              <w:pStyle w:val="Lijstalinea"/>
              <w:widowControl w:val="0"/>
              <w:numPr>
                <w:ilvl w:val="0"/>
                <w:numId w:val="2"/>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Bij vermoeden van onveiligheid in de relaties (inclusief verwaarlozing)</w:t>
            </w:r>
          </w:p>
          <w:p w:rsidR="003953CD" w:rsidRPr="00CB7429" w:rsidRDefault="003953CD" w:rsidP="003953CD">
            <w:pPr>
              <w:pStyle w:val="Lijstalinea"/>
              <w:widowControl w:val="0"/>
              <w:numPr>
                <w:ilvl w:val="0"/>
                <w:numId w:val="2"/>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 xml:space="preserve">Bij gevaarlijke omstandigheden </w:t>
            </w:r>
          </w:p>
          <w:p w:rsidR="003953CD" w:rsidRPr="00CB7429" w:rsidRDefault="003953CD" w:rsidP="003953CD">
            <w:pPr>
              <w:pStyle w:val="Lijstalinea"/>
              <w:widowControl w:val="0"/>
              <w:numPr>
                <w:ilvl w:val="0"/>
                <w:numId w:val="2"/>
              </w:numPr>
              <w:autoSpaceDE w:val="0"/>
              <w:autoSpaceDN w:val="0"/>
              <w:adjustRightInd w:val="0"/>
              <w:spacing w:line="240" w:lineRule="atLeast"/>
              <w:rPr>
                <w:rFonts w:ascii="Verdana" w:hAnsi="Verdana" w:cs="Arial"/>
                <w:sz w:val="18"/>
                <w:szCs w:val="18"/>
              </w:rPr>
            </w:pPr>
            <w:r w:rsidRPr="00CB7429">
              <w:rPr>
                <w:rFonts w:ascii="Verdana" w:hAnsi="Verdana" w:cs="Arial"/>
                <w:sz w:val="18"/>
                <w:szCs w:val="18"/>
              </w:rPr>
              <w:t>B</w:t>
            </w:r>
            <w:r w:rsidRPr="00CB7429">
              <w:rPr>
                <w:rFonts w:ascii="Verdana" w:hAnsi="Verdana" w:cs="Calibri"/>
                <w:sz w:val="18"/>
                <w:szCs w:val="18"/>
              </w:rPr>
              <w:t xml:space="preserve">ij huurachterstanden </w:t>
            </w:r>
          </w:p>
          <w:p w:rsidR="003953CD" w:rsidRPr="00CB7429" w:rsidRDefault="003953CD" w:rsidP="000D4CCA">
            <w:pPr>
              <w:rPr>
                <w:rFonts w:ascii="Verdana" w:hAnsi="Verdana"/>
                <w:sz w:val="18"/>
                <w:szCs w:val="18"/>
              </w:rPr>
            </w:pPr>
            <w:r w:rsidRPr="00CB7429">
              <w:rPr>
                <w:rFonts w:ascii="Verdana" w:hAnsi="Verdana" w:cs="Calibri"/>
                <w:sz w:val="18"/>
                <w:szCs w:val="18"/>
              </w:rPr>
              <w:t xml:space="preserve">NB. De betrokken professionals volgen de stappen van de Meldcode inclusief de </w:t>
            </w:r>
            <w:proofErr w:type="spellStart"/>
            <w:r w:rsidRPr="00CB7429">
              <w:rPr>
                <w:rFonts w:ascii="Verdana" w:hAnsi="Verdana" w:cs="Calibri"/>
                <w:sz w:val="18"/>
                <w:szCs w:val="18"/>
              </w:rPr>
              <w:t>Kindcheck</w:t>
            </w:r>
            <w:proofErr w:type="spellEnd"/>
            <w:r w:rsidRPr="00CB7429">
              <w:rPr>
                <w:rFonts w:ascii="Verdana" w:hAnsi="Verdana" w:cs="Calibri"/>
                <w:sz w:val="18"/>
                <w:szCs w:val="18"/>
              </w:rPr>
              <w:t>. Dit kan leiden tot melding bij Veilig Thuis eventueel gevolgd door onderzoek door Veilig Thuis of direct doorgeleiding naar de Raad voor de Kinderbescherming.</w:t>
            </w:r>
          </w:p>
        </w:tc>
        <w:tc>
          <w:tcPr>
            <w:tcW w:w="3958" w:type="dxa"/>
          </w:tcPr>
          <w:p w:rsidR="003953CD" w:rsidRPr="00CB7429" w:rsidRDefault="003953CD" w:rsidP="000D4CCA">
            <w:pPr>
              <w:rPr>
                <w:rFonts w:ascii="Verdana" w:hAnsi="Verdana"/>
                <w:b/>
                <w:sz w:val="18"/>
                <w:szCs w:val="18"/>
              </w:rPr>
            </w:pPr>
            <w:r w:rsidRPr="00CB7429">
              <w:rPr>
                <w:rFonts w:ascii="Verdana" w:hAnsi="Verdana"/>
                <w:b/>
                <w:sz w:val="18"/>
                <w:szCs w:val="18"/>
              </w:rPr>
              <w:t xml:space="preserve">Afschalen naar fase 1 </w:t>
            </w:r>
          </w:p>
          <w:p w:rsidR="003953CD" w:rsidRPr="00CB7429" w:rsidRDefault="003953CD" w:rsidP="003953CD">
            <w:pPr>
              <w:pStyle w:val="Lijstalinea"/>
              <w:widowControl w:val="0"/>
              <w:numPr>
                <w:ilvl w:val="0"/>
                <w:numId w:val="6"/>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Als draagkracht-draaglast in balans is (mét aandacht voor draagkracht-draaglast van naasten) en professionele hulp is of kan worden afgesloten.</w:t>
            </w:r>
          </w:p>
          <w:p w:rsidR="003953CD" w:rsidRPr="00CB7429" w:rsidRDefault="003953CD" w:rsidP="003953CD">
            <w:pPr>
              <w:pStyle w:val="Lijstalinea"/>
              <w:widowControl w:val="0"/>
              <w:numPr>
                <w:ilvl w:val="0"/>
                <w:numId w:val="6"/>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 xml:space="preserve">Als er sprake is van een veilige leef- en woonsituatie voor betrokkene zelf en omgeving. </w:t>
            </w:r>
          </w:p>
          <w:p w:rsidR="003953CD" w:rsidRPr="00CB7429" w:rsidRDefault="003953CD" w:rsidP="003953CD">
            <w:pPr>
              <w:pStyle w:val="Lijstalinea"/>
              <w:widowControl w:val="0"/>
              <w:numPr>
                <w:ilvl w:val="0"/>
                <w:numId w:val="6"/>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Als de omgeving geen last meer ervaart van betrokkene.</w:t>
            </w:r>
          </w:p>
          <w:p w:rsidR="003953CD" w:rsidRPr="00CB7429" w:rsidRDefault="003953CD" w:rsidP="003953CD">
            <w:pPr>
              <w:pStyle w:val="Lijstalinea"/>
              <w:widowControl w:val="0"/>
              <w:numPr>
                <w:ilvl w:val="0"/>
                <w:numId w:val="6"/>
              </w:numPr>
              <w:autoSpaceDE w:val="0"/>
              <w:autoSpaceDN w:val="0"/>
              <w:adjustRightInd w:val="0"/>
              <w:spacing w:line="240" w:lineRule="atLeast"/>
              <w:rPr>
                <w:rFonts w:ascii="Verdana" w:hAnsi="Verdana" w:cs="Calibri"/>
                <w:sz w:val="18"/>
                <w:szCs w:val="18"/>
              </w:rPr>
            </w:pPr>
            <w:r w:rsidRPr="00CB7429">
              <w:rPr>
                <w:rFonts w:ascii="Verdana" w:hAnsi="Verdana" w:cs="Calibri"/>
                <w:sz w:val="18"/>
                <w:szCs w:val="18"/>
              </w:rPr>
              <w:t xml:space="preserve">Als betrokkene beschikt over veilige en toereikende huisvesting heeft. </w:t>
            </w:r>
          </w:p>
          <w:p w:rsidR="003953CD" w:rsidRPr="00CB7429" w:rsidRDefault="003953CD" w:rsidP="000D4CCA">
            <w:pPr>
              <w:rPr>
                <w:rFonts w:ascii="Verdana" w:hAnsi="Verdana"/>
                <w:sz w:val="18"/>
                <w:szCs w:val="18"/>
              </w:rPr>
            </w:pPr>
            <w:r w:rsidRPr="00CB7429">
              <w:rPr>
                <w:rFonts w:ascii="Verdana" w:hAnsi="Verdana" w:cs="Calibri"/>
                <w:sz w:val="18"/>
                <w:szCs w:val="18"/>
              </w:rPr>
              <w:t xml:space="preserve">Er is een groep mensen die chronische problematiek heeft en die aangewezen is op levenslange reguliere hulp (‘waakvlam’). </w:t>
            </w:r>
            <w:r w:rsidRPr="00CB7429">
              <w:rPr>
                <w:rFonts w:ascii="Verdana" w:hAnsi="Verdana"/>
                <w:sz w:val="18"/>
                <w:szCs w:val="18"/>
              </w:rPr>
              <w:t xml:space="preserve"> </w:t>
            </w:r>
          </w:p>
        </w:tc>
      </w:tr>
      <w:tr w:rsidR="003953CD" w:rsidRPr="00CB7429" w:rsidTr="000D4CCA">
        <w:tc>
          <w:tcPr>
            <w:tcW w:w="1134" w:type="dxa"/>
            <w:shd w:val="clear" w:color="auto" w:fill="FF0000"/>
          </w:tcPr>
          <w:p w:rsidR="003953CD" w:rsidRPr="00CB7429" w:rsidRDefault="003953CD" w:rsidP="000D4CCA">
            <w:pPr>
              <w:rPr>
                <w:rFonts w:ascii="Verdana" w:hAnsi="Verdana"/>
                <w:b/>
                <w:sz w:val="18"/>
                <w:szCs w:val="18"/>
              </w:rPr>
            </w:pPr>
            <w:r w:rsidRPr="00CB7429">
              <w:rPr>
                <w:rFonts w:ascii="Verdana" w:hAnsi="Verdana"/>
                <w:b/>
                <w:color w:val="FFFFFF" w:themeColor="background1"/>
                <w:sz w:val="18"/>
                <w:szCs w:val="18"/>
              </w:rPr>
              <w:t>Fase 3</w:t>
            </w:r>
          </w:p>
        </w:tc>
        <w:tc>
          <w:tcPr>
            <w:tcW w:w="3969" w:type="dxa"/>
          </w:tcPr>
          <w:p w:rsidR="003953CD" w:rsidRPr="00CB7429" w:rsidRDefault="003953CD" w:rsidP="000D4CCA">
            <w:pPr>
              <w:rPr>
                <w:rFonts w:ascii="Verdana" w:hAnsi="Verdana"/>
                <w:b/>
                <w:sz w:val="18"/>
                <w:szCs w:val="18"/>
              </w:rPr>
            </w:pPr>
            <w:r w:rsidRPr="00CB7429">
              <w:rPr>
                <w:rFonts w:ascii="Verdana" w:hAnsi="Verdana"/>
                <w:b/>
                <w:sz w:val="18"/>
                <w:szCs w:val="18"/>
              </w:rPr>
              <w:t>Opschalen naar fase 4</w:t>
            </w:r>
          </w:p>
          <w:p w:rsidR="003953CD" w:rsidRPr="00CB7429" w:rsidRDefault="003953CD" w:rsidP="003953CD">
            <w:pPr>
              <w:pStyle w:val="Lijstalinea"/>
              <w:widowControl w:val="0"/>
              <w:numPr>
                <w:ilvl w:val="0"/>
                <w:numId w:val="3"/>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Bij dreigende onveiligheid voor betrokkene, naasten en directe omgeving.</w:t>
            </w:r>
          </w:p>
          <w:p w:rsidR="003953CD" w:rsidRPr="00CB7429" w:rsidRDefault="003953CD" w:rsidP="003953CD">
            <w:pPr>
              <w:pStyle w:val="Lijstalinea"/>
              <w:widowControl w:val="0"/>
              <w:numPr>
                <w:ilvl w:val="0"/>
                <w:numId w:val="3"/>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Bij dreigende maatschappelijke onrust.</w:t>
            </w:r>
          </w:p>
          <w:p w:rsidR="003953CD" w:rsidRPr="00CB7429" w:rsidRDefault="003953CD" w:rsidP="003953CD">
            <w:pPr>
              <w:pStyle w:val="Lijstalinea"/>
              <w:widowControl w:val="0"/>
              <w:numPr>
                <w:ilvl w:val="0"/>
                <w:numId w:val="3"/>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Media-aandacht aan de orde?</w:t>
            </w:r>
          </w:p>
          <w:p w:rsidR="003953CD" w:rsidRPr="00CB7429" w:rsidRDefault="003953CD" w:rsidP="000D4CCA">
            <w:pPr>
              <w:widowControl w:val="0"/>
              <w:autoSpaceDE w:val="0"/>
              <w:autoSpaceDN w:val="0"/>
              <w:adjustRightInd w:val="0"/>
              <w:spacing w:line="240" w:lineRule="atLeast"/>
              <w:rPr>
                <w:rFonts w:ascii="Verdana" w:hAnsi="Verdana" w:cs="Calibri"/>
                <w:sz w:val="18"/>
                <w:szCs w:val="18"/>
              </w:rPr>
            </w:pPr>
            <w:r w:rsidRPr="00CB7429">
              <w:rPr>
                <w:rFonts w:ascii="Verdana" w:hAnsi="Verdana" w:cs="Calibri"/>
                <w:sz w:val="18"/>
                <w:szCs w:val="18"/>
              </w:rPr>
              <w:t xml:space="preserve">Ja? </w:t>
            </w:r>
            <w:r w:rsidRPr="00CB7429">
              <w:rPr>
                <w:rFonts w:ascii="Verdana" w:hAnsi="Verdana" w:cs="Wingdings"/>
                <w:sz w:val="18"/>
                <w:szCs w:val="18"/>
              </w:rPr>
              <w:sym w:font="Wingdings" w:char="F0E0"/>
            </w:r>
            <w:r w:rsidRPr="00CB7429">
              <w:rPr>
                <w:rFonts w:ascii="Verdana" w:hAnsi="Verdana" w:cs="Wingdings"/>
                <w:sz w:val="18"/>
                <w:szCs w:val="18"/>
              </w:rPr>
              <w:t xml:space="preserve"> </w:t>
            </w:r>
            <w:r w:rsidRPr="00CB7429">
              <w:rPr>
                <w:rFonts w:ascii="Verdana" w:hAnsi="Verdana" w:cs="Calibri"/>
                <w:sz w:val="18"/>
                <w:szCs w:val="18"/>
              </w:rPr>
              <w:t>Opschalen naar Veiligheidshuis</w:t>
            </w:r>
          </w:p>
          <w:p w:rsidR="003953CD" w:rsidRPr="00CB7429" w:rsidRDefault="003953CD" w:rsidP="000D4CCA">
            <w:pPr>
              <w:widowControl w:val="0"/>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 xml:space="preserve">Nee? </w:t>
            </w:r>
            <w:r w:rsidRPr="00CB7429">
              <w:rPr>
                <w:rFonts w:ascii="Verdana" w:hAnsi="Verdana" w:cs="Calibri"/>
                <w:sz w:val="18"/>
                <w:szCs w:val="18"/>
              </w:rPr>
              <w:sym w:font="Wingdings" w:char="F0E0"/>
            </w:r>
            <w:r w:rsidRPr="00CB7429">
              <w:rPr>
                <w:rFonts w:ascii="Verdana" w:hAnsi="Verdana" w:cs="Calibri"/>
                <w:sz w:val="18"/>
                <w:szCs w:val="18"/>
              </w:rPr>
              <w:t xml:space="preserve"> Opschalen naar Veilig Thuis.</w:t>
            </w:r>
          </w:p>
          <w:p w:rsidR="003953CD" w:rsidRPr="00CB7429" w:rsidRDefault="003953CD" w:rsidP="000D4CCA">
            <w:pPr>
              <w:rPr>
                <w:rFonts w:ascii="Verdana" w:hAnsi="Verdana"/>
                <w:sz w:val="18"/>
                <w:szCs w:val="18"/>
              </w:rPr>
            </w:pPr>
            <w:r w:rsidRPr="00CB7429">
              <w:rPr>
                <w:rFonts w:ascii="Verdana" w:hAnsi="Verdana" w:cs="Calibri"/>
                <w:sz w:val="18"/>
                <w:szCs w:val="18"/>
              </w:rPr>
              <w:t xml:space="preserve">Check bij coördinator </w:t>
            </w:r>
            <w:proofErr w:type="spellStart"/>
            <w:r w:rsidRPr="00CB7429">
              <w:rPr>
                <w:rFonts w:ascii="Verdana" w:hAnsi="Verdana" w:cs="Calibri"/>
                <w:sz w:val="18"/>
                <w:szCs w:val="18"/>
              </w:rPr>
              <w:t>PSHi</w:t>
            </w:r>
            <w:proofErr w:type="spellEnd"/>
            <w:r w:rsidRPr="00CB7429">
              <w:rPr>
                <w:rFonts w:ascii="Verdana" w:hAnsi="Verdana" w:cs="Calibri"/>
                <w:sz w:val="18"/>
                <w:szCs w:val="18"/>
              </w:rPr>
              <w:t xml:space="preserve"> (GGD) of </w:t>
            </w:r>
            <w:proofErr w:type="spellStart"/>
            <w:r w:rsidRPr="00CB7429">
              <w:rPr>
                <w:rFonts w:ascii="Verdana" w:hAnsi="Verdana" w:cs="Calibri"/>
                <w:sz w:val="18"/>
                <w:szCs w:val="18"/>
              </w:rPr>
              <w:t>PSHi</w:t>
            </w:r>
            <w:proofErr w:type="spellEnd"/>
            <w:r w:rsidRPr="00CB7429">
              <w:rPr>
                <w:rFonts w:ascii="Verdana" w:hAnsi="Verdana" w:cs="Calibri"/>
                <w:sz w:val="18"/>
                <w:szCs w:val="18"/>
              </w:rPr>
              <w:t>-team in actie moet komen.</w:t>
            </w:r>
          </w:p>
        </w:tc>
        <w:tc>
          <w:tcPr>
            <w:tcW w:w="3958" w:type="dxa"/>
          </w:tcPr>
          <w:p w:rsidR="003953CD" w:rsidRPr="00CB7429" w:rsidRDefault="003953CD" w:rsidP="000D4CCA">
            <w:pPr>
              <w:rPr>
                <w:rFonts w:ascii="Verdana" w:hAnsi="Verdana"/>
                <w:b/>
                <w:sz w:val="18"/>
                <w:szCs w:val="18"/>
              </w:rPr>
            </w:pPr>
            <w:r w:rsidRPr="00CB7429">
              <w:rPr>
                <w:rFonts w:ascii="Verdana" w:hAnsi="Verdana"/>
                <w:b/>
                <w:sz w:val="18"/>
                <w:szCs w:val="18"/>
              </w:rPr>
              <w:t>Afschalen naar 2</w:t>
            </w:r>
          </w:p>
          <w:p w:rsidR="003953CD" w:rsidRPr="00CB7429" w:rsidRDefault="003953CD" w:rsidP="003953CD">
            <w:pPr>
              <w:pStyle w:val="Lijstalinea"/>
              <w:widowControl w:val="0"/>
              <w:numPr>
                <w:ilvl w:val="0"/>
                <w:numId w:val="4"/>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Als risico op maatschappelijke onrust weg is.</w:t>
            </w:r>
          </w:p>
          <w:p w:rsidR="003953CD" w:rsidRPr="00CB7429" w:rsidRDefault="003953CD" w:rsidP="003953CD">
            <w:pPr>
              <w:pStyle w:val="Lijstalinea"/>
              <w:widowControl w:val="0"/>
              <w:numPr>
                <w:ilvl w:val="0"/>
                <w:numId w:val="4"/>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Als de hulp effectief is.</w:t>
            </w:r>
          </w:p>
          <w:p w:rsidR="003953CD" w:rsidRPr="00CB7429" w:rsidRDefault="003953CD" w:rsidP="003953CD">
            <w:pPr>
              <w:pStyle w:val="Lijstalinea"/>
              <w:widowControl w:val="0"/>
              <w:numPr>
                <w:ilvl w:val="0"/>
                <w:numId w:val="4"/>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Als stagnatie in samenwerking is opgeheven.</w:t>
            </w:r>
          </w:p>
          <w:p w:rsidR="003953CD" w:rsidRPr="00CB7429" w:rsidRDefault="003953CD" w:rsidP="003953CD">
            <w:pPr>
              <w:pStyle w:val="Lijstalinea"/>
              <w:widowControl w:val="0"/>
              <w:numPr>
                <w:ilvl w:val="0"/>
                <w:numId w:val="4"/>
              </w:numPr>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Als veiligheid hersteld is voor betrokkene zelf en zijn omgeving.</w:t>
            </w:r>
          </w:p>
          <w:p w:rsidR="003953CD" w:rsidRPr="00CB7429" w:rsidRDefault="003953CD" w:rsidP="003953CD">
            <w:pPr>
              <w:pStyle w:val="Lijstalinea"/>
              <w:numPr>
                <w:ilvl w:val="0"/>
                <w:numId w:val="4"/>
              </w:numPr>
              <w:rPr>
                <w:rFonts w:ascii="Verdana" w:hAnsi="Verdana"/>
                <w:sz w:val="18"/>
                <w:szCs w:val="18"/>
              </w:rPr>
            </w:pPr>
            <w:r w:rsidRPr="00CB7429">
              <w:rPr>
                <w:rFonts w:ascii="Verdana" w:hAnsi="Verdana" w:cs="Calibri"/>
                <w:sz w:val="18"/>
                <w:szCs w:val="18"/>
              </w:rPr>
              <w:t>Als dreigende uithuiszetting niet meer aan de orde is en zicht is op huisvesting die geschikt is.</w:t>
            </w:r>
          </w:p>
        </w:tc>
      </w:tr>
      <w:tr w:rsidR="003953CD" w:rsidRPr="00CB7429" w:rsidTr="000D4CCA">
        <w:trPr>
          <w:trHeight w:val="773"/>
        </w:trPr>
        <w:tc>
          <w:tcPr>
            <w:tcW w:w="1134" w:type="dxa"/>
            <w:shd w:val="clear" w:color="auto" w:fill="C00000"/>
          </w:tcPr>
          <w:p w:rsidR="003953CD" w:rsidRPr="00CB7429" w:rsidRDefault="003953CD" w:rsidP="000D4CCA">
            <w:pPr>
              <w:rPr>
                <w:rFonts w:ascii="Verdana" w:hAnsi="Verdana"/>
                <w:b/>
                <w:sz w:val="18"/>
                <w:szCs w:val="18"/>
              </w:rPr>
            </w:pPr>
            <w:r w:rsidRPr="00CB7429">
              <w:rPr>
                <w:rFonts w:ascii="Verdana" w:hAnsi="Verdana"/>
                <w:b/>
                <w:sz w:val="18"/>
                <w:szCs w:val="18"/>
              </w:rPr>
              <w:t>Fase 4</w:t>
            </w:r>
          </w:p>
        </w:tc>
        <w:tc>
          <w:tcPr>
            <w:tcW w:w="3969" w:type="dxa"/>
          </w:tcPr>
          <w:p w:rsidR="003953CD" w:rsidRPr="00CB7429" w:rsidRDefault="003953CD" w:rsidP="000D4CCA">
            <w:pPr>
              <w:rPr>
                <w:rFonts w:ascii="Verdana" w:hAnsi="Verdana"/>
                <w:b/>
                <w:sz w:val="18"/>
                <w:szCs w:val="18"/>
              </w:rPr>
            </w:pPr>
            <w:r w:rsidRPr="00CB7429">
              <w:rPr>
                <w:rFonts w:ascii="Verdana" w:hAnsi="Verdana"/>
                <w:b/>
                <w:sz w:val="18"/>
                <w:szCs w:val="18"/>
              </w:rPr>
              <w:t xml:space="preserve">Opschalen niet aan de orde </w:t>
            </w:r>
          </w:p>
          <w:p w:rsidR="003953CD" w:rsidRPr="00CB7429" w:rsidRDefault="003953CD" w:rsidP="000D4CCA">
            <w:pPr>
              <w:widowControl w:val="0"/>
              <w:autoSpaceDE w:val="0"/>
              <w:autoSpaceDN w:val="0"/>
              <w:adjustRightInd w:val="0"/>
              <w:spacing w:line="240" w:lineRule="atLeast"/>
              <w:rPr>
                <w:rFonts w:ascii="Verdana" w:hAnsi="Verdana" w:cs="Arial"/>
                <w:sz w:val="18"/>
                <w:szCs w:val="18"/>
              </w:rPr>
            </w:pPr>
            <w:r w:rsidRPr="00CB7429">
              <w:rPr>
                <w:rFonts w:ascii="Verdana" w:hAnsi="Verdana" w:cs="Calibri"/>
                <w:sz w:val="18"/>
                <w:szCs w:val="18"/>
              </w:rPr>
              <w:t xml:space="preserve">Veiligheidshuis, andere organisaties en gemeente kunnen </w:t>
            </w:r>
            <w:proofErr w:type="spellStart"/>
            <w:r w:rsidRPr="00CB7429">
              <w:rPr>
                <w:rFonts w:ascii="Verdana" w:hAnsi="Verdana" w:cs="Calibri"/>
                <w:sz w:val="18"/>
                <w:szCs w:val="18"/>
              </w:rPr>
              <w:t>PSHi</w:t>
            </w:r>
            <w:proofErr w:type="spellEnd"/>
            <w:r w:rsidRPr="00CB7429">
              <w:rPr>
                <w:rFonts w:ascii="Verdana" w:hAnsi="Verdana" w:cs="Calibri"/>
                <w:sz w:val="18"/>
                <w:szCs w:val="18"/>
              </w:rPr>
              <w:t xml:space="preserve"> inschakelen afhankelijk van de mate van maatschappelijke onrust.</w:t>
            </w:r>
          </w:p>
          <w:p w:rsidR="003953CD" w:rsidRPr="00CB7429" w:rsidRDefault="003953CD" w:rsidP="000D4CCA">
            <w:pPr>
              <w:rPr>
                <w:rFonts w:ascii="Verdana" w:hAnsi="Verdana" w:cs="Calibri"/>
                <w:sz w:val="18"/>
                <w:szCs w:val="18"/>
              </w:rPr>
            </w:pPr>
          </w:p>
          <w:p w:rsidR="003953CD" w:rsidRPr="00CB7429" w:rsidRDefault="003953CD" w:rsidP="000D4CCA">
            <w:pPr>
              <w:rPr>
                <w:rFonts w:ascii="Verdana" w:hAnsi="Verdana"/>
                <w:b/>
                <w:sz w:val="18"/>
                <w:szCs w:val="18"/>
              </w:rPr>
            </w:pPr>
            <w:r w:rsidRPr="00CB7429">
              <w:rPr>
                <w:rFonts w:ascii="Verdana" w:hAnsi="Verdana" w:cs="Calibri"/>
                <w:sz w:val="18"/>
                <w:szCs w:val="18"/>
              </w:rPr>
              <w:t xml:space="preserve">Groeiende onrust kan aanleiding vormen voor GRIP-opschaling. </w:t>
            </w:r>
          </w:p>
        </w:tc>
        <w:tc>
          <w:tcPr>
            <w:tcW w:w="3958" w:type="dxa"/>
          </w:tcPr>
          <w:p w:rsidR="003953CD" w:rsidRPr="00CB7429" w:rsidRDefault="003953CD" w:rsidP="000D4CCA">
            <w:pPr>
              <w:rPr>
                <w:rFonts w:ascii="Verdana" w:hAnsi="Verdana"/>
                <w:b/>
                <w:sz w:val="18"/>
                <w:szCs w:val="18"/>
              </w:rPr>
            </w:pPr>
            <w:r w:rsidRPr="00CB7429">
              <w:rPr>
                <w:rFonts w:ascii="Verdana" w:hAnsi="Verdana"/>
                <w:b/>
                <w:sz w:val="18"/>
                <w:szCs w:val="18"/>
              </w:rPr>
              <w:t>Afschalen naar 3</w:t>
            </w:r>
          </w:p>
          <w:p w:rsidR="003953CD" w:rsidRPr="00CB7429" w:rsidRDefault="003953CD" w:rsidP="003953CD">
            <w:pPr>
              <w:pStyle w:val="Lijstalinea"/>
              <w:widowControl w:val="0"/>
              <w:numPr>
                <w:ilvl w:val="0"/>
                <w:numId w:val="5"/>
              </w:numPr>
              <w:autoSpaceDE w:val="0"/>
              <w:autoSpaceDN w:val="0"/>
              <w:adjustRightInd w:val="0"/>
              <w:spacing w:line="240" w:lineRule="atLeast"/>
              <w:rPr>
                <w:rFonts w:ascii="Verdana" w:hAnsi="Verdana" w:cs="Calibri"/>
                <w:sz w:val="18"/>
                <w:szCs w:val="18"/>
              </w:rPr>
            </w:pPr>
            <w:r w:rsidRPr="00CB7429">
              <w:rPr>
                <w:rFonts w:ascii="Verdana" w:hAnsi="Verdana" w:cs="Calibri"/>
                <w:sz w:val="18"/>
                <w:szCs w:val="18"/>
              </w:rPr>
              <w:t>Als gevaar onder controle is;</w:t>
            </w:r>
          </w:p>
          <w:p w:rsidR="003953CD" w:rsidRPr="00CB7429" w:rsidRDefault="003953CD" w:rsidP="003953CD">
            <w:pPr>
              <w:pStyle w:val="Lijstalinea"/>
              <w:widowControl w:val="0"/>
              <w:numPr>
                <w:ilvl w:val="0"/>
                <w:numId w:val="5"/>
              </w:numPr>
              <w:autoSpaceDE w:val="0"/>
              <w:autoSpaceDN w:val="0"/>
              <w:adjustRightInd w:val="0"/>
              <w:spacing w:line="240" w:lineRule="atLeast"/>
              <w:rPr>
                <w:rFonts w:ascii="Verdana" w:hAnsi="Verdana" w:cs="Calibri"/>
                <w:sz w:val="18"/>
                <w:szCs w:val="18"/>
              </w:rPr>
            </w:pPr>
            <w:r w:rsidRPr="00CB7429">
              <w:rPr>
                <w:rFonts w:ascii="Verdana" w:hAnsi="Verdana" w:cs="Calibri"/>
                <w:sz w:val="18"/>
                <w:szCs w:val="18"/>
              </w:rPr>
              <w:t xml:space="preserve">Als maatschappelijke onrust gestabiliseerd is; </w:t>
            </w:r>
          </w:p>
          <w:p w:rsidR="003953CD" w:rsidRPr="00CB7429" w:rsidRDefault="003953CD" w:rsidP="003953CD">
            <w:pPr>
              <w:pStyle w:val="Lijstalinea"/>
              <w:widowControl w:val="0"/>
              <w:numPr>
                <w:ilvl w:val="0"/>
                <w:numId w:val="5"/>
              </w:numPr>
              <w:autoSpaceDE w:val="0"/>
              <w:autoSpaceDN w:val="0"/>
              <w:adjustRightInd w:val="0"/>
              <w:spacing w:line="240" w:lineRule="atLeast"/>
              <w:rPr>
                <w:rFonts w:ascii="Verdana" w:hAnsi="Verdana" w:cs="Calibri"/>
                <w:sz w:val="18"/>
                <w:szCs w:val="18"/>
              </w:rPr>
            </w:pPr>
            <w:r w:rsidRPr="00CB7429">
              <w:rPr>
                <w:rFonts w:ascii="Verdana" w:hAnsi="Verdana" w:cs="Calibri"/>
                <w:sz w:val="18"/>
                <w:szCs w:val="18"/>
              </w:rPr>
              <w:t>Als juiste maatregelen en hulp zijn ingezet;</w:t>
            </w:r>
          </w:p>
          <w:p w:rsidR="003953CD" w:rsidRPr="00CB7429" w:rsidRDefault="003953CD" w:rsidP="003953CD">
            <w:pPr>
              <w:pStyle w:val="Lijstalinea"/>
              <w:widowControl w:val="0"/>
              <w:numPr>
                <w:ilvl w:val="0"/>
                <w:numId w:val="5"/>
              </w:numPr>
              <w:autoSpaceDE w:val="0"/>
              <w:autoSpaceDN w:val="0"/>
              <w:adjustRightInd w:val="0"/>
              <w:spacing w:line="240" w:lineRule="atLeast"/>
              <w:rPr>
                <w:rFonts w:ascii="Verdana" w:hAnsi="Verdana" w:cs="Calibri"/>
                <w:sz w:val="18"/>
                <w:szCs w:val="18"/>
              </w:rPr>
            </w:pPr>
            <w:r w:rsidRPr="00CB7429">
              <w:rPr>
                <w:rFonts w:ascii="Verdana" w:hAnsi="Verdana" w:cs="Calibri"/>
                <w:sz w:val="18"/>
                <w:szCs w:val="18"/>
              </w:rPr>
              <w:t>Als betrokkene weer onderdak heeft en het daar veilig is voor betrokkene zelf en anderen (maatschappelijke opvang, jeugdhulpvoorziening, beschermd wonen, terug naar huis).</w:t>
            </w:r>
          </w:p>
        </w:tc>
      </w:tr>
    </w:tbl>
    <w:p w:rsidR="003953CD" w:rsidRPr="00CB7429" w:rsidRDefault="003953CD" w:rsidP="003953CD">
      <w:pPr>
        <w:outlineLvl w:val="0"/>
        <w:rPr>
          <w:rFonts w:ascii="Verdana" w:hAnsi="Verdana"/>
          <w:b/>
          <w:color w:val="808080" w:themeColor="background1" w:themeShade="80"/>
          <w:sz w:val="18"/>
          <w:szCs w:val="18"/>
        </w:rPr>
      </w:pPr>
    </w:p>
    <w:p w:rsidR="003953CD" w:rsidRDefault="003953CD" w:rsidP="003953CD">
      <w:pPr>
        <w:outlineLvl w:val="0"/>
        <w:rPr>
          <w:rFonts w:ascii="Verdana" w:hAnsi="Verdana"/>
          <w:b/>
          <w:color w:val="808080" w:themeColor="background1" w:themeShade="80"/>
          <w:sz w:val="20"/>
          <w:szCs w:val="20"/>
        </w:rPr>
      </w:pPr>
    </w:p>
    <w:p w:rsidR="003953CD" w:rsidRPr="00DA64F2" w:rsidRDefault="003953CD">
      <w:pPr>
        <w:rPr>
          <w:sz w:val="16"/>
          <w:szCs w:val="16"/>
        </w:rPr>
      </w:pPr>
    </w:p>
    <w:sectPr w:rsidR="003953CD" w:rsidRPr="00DA64F2" w:rsidSect="00646C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A6B"/>
    <w:multiLevelType w:val="hybridMultilevel"/>
    <w:tmpl w:val="43A81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B70E7A"/>
    <w:multiLevelType w:val="hybridMultilevel"/>
    <w:tmpl w:val="05724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B6EF4"/>
    <w:multiLevelType w:val="hybridMultilevel"/>
    <w:tmpl w:val="86F62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C14A62"/>
    <w:multiLevelType w:val="hybridMultilevel"/>
    <w:tmpl w:val="91807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272ED5"/>
    <w:multiLevelType w:val="hybridMultilevel"/>
    <w:tmpl w:val="B1AEE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C61E0A"/>
    <w:multiLevelType w:val="hybridMultilevel"/>
    <w:tmpl w:val="716A5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1A6943"/>
    <w:multiLevelType w:val="hybridMultilevel"/>
    <w:tmpl w:val="F042B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F2"/>
    <w:rsid w:val="0005673C"/>
    <w:rsid w:val="001E2F94"/>
    <w:rsid w:val="00373690"/>
    <w:rsid w:val="0038111B"/>
    <w:rsid w:val="003953CD"/>
    <w:rsid w:val="005B0EC9"/>
    <w:rsid w:val="00624D40"/>
    <w:rsid w:val="00646C64"/>
    <w:rsid w:val="006B6220"/>
    <w:rsid w:val="00895207"/>
    <w:rsid w:val="008C4A6A"/>
    <w:rsid w:val="00DA64F2"/>
    <w:rsid w:val="00EA2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D0A70-4624-4D13-B430-29D225BE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64F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64F2"/>
    <w:pPr>
      <w:ind w:left="720"/>
      <w:contextualSpacing/>
    </w:pPr>
    <w:rPr>
      <w:rFonts w:asciiTheme="minorHAnsi" w:eastAsiaTheme="minorHAnsi" w:hAnsiTheme="minorHAnsi" w:cstheme="minorBidi"/>
      <w:lang w:eastAsia="en-US"/>
    </w:rPr>
  </w:style>
  <w:style w:type="table" w:styleId="Tabelraster">
    <w:name w:val="Table Grid"/>
    <w:basedOn w:val="Standaardtabel"/>
    <w:uiPriority w:val="39"/>
    <w:rsid w:val="00DA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Mobach</dc:creator>
  <cp:lastModifiedBy>Mariska</cp:lastModifiedBy>
  <cp:revision>2</cp:revision>
  <dcterms:created xsi:type="dcterms:W3CDTF">2019-02-15T08:27:00Z</dcterms:created>
  <dcterms:modified xsi:type="dcterms:W3CDTF">2019-02-15T08:27:00Z</dcterms:modified>
</cp:coreProperties>
</file>